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87B5" w14:textId="77777777" w:rsidR="002326B9" w:rsidRPr="00AC426A" w:rsidRDefault="002326B9" w:rsidP="00A600CB">
      <w:pPr>
        <w:spacing w:before="720" w:line="340" w:lineRule="exact"/>
        <w:ind w:left="720" w:right="720"/>
        <w:jc w:val="center"/>
        <w:rPr>
          <w:rFonts w:eastAsia="Calibri" w:cs="Calibri"/>
          <w:sz w:val="28"/>
          <w:szCs w:val="28"/>
        </w:rPr>
      </w:pPr>
      <w:r w:rsidRPr="00AC426A">
        <w:rPr>
          <w:rFonts w:eastAsia="Calibri" w:cs="Calibri"/>
          <w:b/>
          <w:sz w:val="28"/>
          <w:szCs w:val="28"/>
        </w:rPr>
        <w:t>RE</w:t>
      </w:r>
      <w:r w:rsidRPr="00AC426A">
        <w:rPr>
          <w:rFonts w:eastAsia="Calibri" w:cs="Calibri"/>
          <w:b/>
          <w:spacing w:val="1"/>
          <w:sz w:val="28"/>
          <w:szCs w:val="28"/>
        </w:rPr>
        <w:t>G</w:t>
      </w:r>
      <w:r w:rsidRPr="00AC426A">
        <w:rPr>
          <w:rFonts w:eastAsia="Calibri" w:cs="Calibri"/>
          <w:b/>
          <w:spacing w:val="-3"/>
          <w:sz w:val="28"/>
          <w:szCs w:val="28"/>
        </w:rPr>
        <w:t>U</w:t>
      </w:r>
      <w:r w:rsidRPr="00AC426A">
        <w:rPr>
          <w:rFonts w:eastAsia="Calibri" w:cs="Calibri"/>
          <w:b/>
          <w:spacing w:val="1"/>
          <w:sz w:val="28"/>
          <w:szCs w:val="28"/>
        </w:rPr>
        <w:t>L</w:t>
      </w:r>
      <w:r w:rsidRPr="00AC426A">
        <w:rPr>
          <w:rFonts w:eastAsia="Calibri" w:cs="Calibri"/>
          <w:b/>
          <w:sz w:val="28"/>
          <w:szCs w:val="28"/>
        </w:rPr>
        <w:t>ATION</w:t>
      </w:r>
      <w:r w:rsidRPr="00AC426A">
        <w:rPr>
          <w:rFonts w:eastAsia="Calibri" w:cs="Calibri"/>
          <w:b/>
          <w:spacing w:val="-1"/>
          <w:sz w:val="28"/>
          <w:szCs w:val="28"/>
        </w:rPr>
        <w:t xml:space="preserve"> (</w:t>
      </w:r>
      <w:r w:rsidRPr="00AC426A">
        <w:rPr>
          <w:rFonts w:eastAsia="Calibri" w:cs="Calibri"/>
          <w:b/>
          <w:sz w:val="28"/>
          <w:szCs w:val="28"/>
        </w:rPr>
        <w:t>E</w:t>
      </w:r>
      <w:r w:rsidRPr="00AC426A">
        <w:rPr>
          <w:rFonts w:eastAsia="Calibri" w:cs="Calibri"/>
          <w:b/>
          <w:spacing w:val="-1"/>
          <w:sz w:val="28"/>
          <w:szCs w:val="28"/>
        </w:rPr>
        <w:t>U</w:t>
      </w:r>
      <w:r w:rsidRPr="00AC426A">
        <w:rPr>
          <w:rFonts w:eastAsia="Calibri" w:cs="Calibri"/>
          <w:b/>
          <w:sz w:val="28"/>
          <w:szCs w:val="28"/>
        </w:rPr>
        <w:t>)</w:t>
      </w:r>
      <w:r w:rsidRPr="00AC426A">
        <w:rPr>
          <w:rFonts w:eastAsia="Calibri" w:cs="Calibri"/>
          <w:b/>
          <w:spacing w:val="-2"/>
          <w:sz w:val="28"/>
          <w:szCs w:val="28"/>
        </w:rPr>
        <w:t xml:space="preserve"> </w:t>
      </w:r>
      <w:r w:rsidRPr="00AC426A">
        <w:rPr>
          <w:rFonts w:eastAsia="Calibri" w:cs="Calibri"/>
          <w:b/>
          <w:sz w:val="28"/>
          <w:szCs w:val="28"/>
        </w:rPr>
        <w:t>2</w:t>
      </w:r>
      <w:r w:rsidRPr="00AC426A">
        <w:rPr>
          <w:rFonts w:eastAsia="Calibri" w:cs="Calibri"/>
          <w:b/>
          <w:spacing w:val="1"/>
          <w:sz w:val="28"/>
          <w:szCs w:val="28"/>
        </w:rPr>
        <w:t>0</w:t>
      </w:r>
      <w:r w:rsidRPr="00AC426A">
        <w:rPr>
          <w:rFonts w:eastAsia="Calibri" w:cs="Calibri"/>
          <w:b/>
          <w:sz w:val="28"/>
          <w:szCs w:val="28"/>
        </w:rPr>
        <w:t>1</w:t>
      </w:r>
      <w:r w:rsidRPr="00AC426A">
        <w:rPr>
          <w:rFonts w:eastAsia="Calibri" w:cs="Calibri"/>
          <w:b/>
          <w:spacing w:val="-1"/>
          <w:sz w:val="28"/>
          <w:szCs w:val="28"/>
        </w:rPr>
        <w:t>9</w:t>
      </w:r>
      <w:r w:rsidRPr="00AC426A">
        <w:rPr>
          <w:rFonts w:eastAsia="Calibri" w:cs="Calibri"/>
          <w:b/>
          <w:sz w:val="28"/>
          <w:szCs w:val="28"/>
        </w:rPr>
        <w:t>/</w:t>
      </w:r>
      <w:r w:rsidRPr="00AC426A">
        <w:rPr>
          <w:rFonts w:eastAsia="Calibri" w:cs="Calibri"/>
          <w:b/>
          <w:spacing w:val="-1"/>
          <w:sz w:val="28"/>
          <w:szCs w:val="28"/>
        </w:rPr>
        <w:t>1</w:t>
      </w:r>
      <w:r w:rsidRPr="00AC426A">
        <w:rPr>
          <w:rFonts w:eastAsia="Calibri" w:cs="Calibri"/>
          <w:b/>
          <w:sz w:val="28"/>
          <w:szCs w:val="28"/>
        </w:rPr>
        <w:t>0</w:t>
      </w:r>
      <w:r w:rsidRPr="00AC426A">
        <w:rPr>
          <w:rFonts w:eastAsia="Calibri" w:cs="Calibri"/>
          <w:b/>
          <w:spacing w:val="-1"/>
          <w:sz w:val="28"/>
          <w:szCs w:val="28"/>
        </w:rPr>
        <w:t>0</w:t>
      </w:r>
      <w:r w:rsidRPr="00AC426A">
        <w:rPr>
          <w:rFonts w:eastAsia="Calibri" w:cs="Calibri"/>
          <w:b/>
          <w:sz w:val="28"/>
          <w:szCs w:val="28"/>
        </w:rPr>
        <w:t>9</w:t>
      </w:r>
      <w:r w:rsidRPr="00AC426A">
        <w:rPr>
          <w:rFonts w:eastAsia="Calibri" w:cs="Calibri"/>
          <w:b/>
          <w:spacing w:val="-2"/>
          <w:sz w:val="28"/>
          <w:szCs w:val="28"/>
        </w:rPr>
        <w:t xml:space="preserve"> </w:t>
      </w:r>
      <w:r w:rsidRPr="00AC426A">
        <w:rPr>
          <w:rFonts w:eastAsia="Calibri" w:cs="Calibri"/>
          <w:b/>
          <w:sz w:val="28"/>
          <w:szCs w:val="28"/>
        </w:rPr>
        <w:t>OF THE</w:t>
      </w:r>
      <w:r w:rsidRPr="00AC426A">
        <w:rPr>
          <w:rFonts w:eastAsia="Calibri" w:cs="Calibri"/>
          <w:b/>
          <w:spacing w:val="-1"/>
          <w:sz w:val="28"/>
          <w:szCs w:val="28"/>
        </w:rPr>
        <w:t xml:space="preserve"> </w:t>
      </w:r>
      <w:r w:rsidRPr="00AC426A">
        <w:rPr>
          <w:rFonts w:eastAsia="Calibri" w:cs="Calibri"/>
          <w:b/>
          <w:sz w:val="28"/>
          <w:szCs w:val="28"/>
        </w:rPr>
        <w:t>E</w:t>
      </w:r>
      <w:r w:rsidRPr="00AC426A">
        <w:rPr>
          <w:rFonts w:eastAsia="Calibri" w:cs="Calibri"/>
          <w:b/>
          <w:spacing w:val="-1"/>
          <w:sz w:val="28"/>
          <w:szCs w:val="28"/>
        </w:rPr>
        <w:t>U</w:t>
      </w:r>
      <w:r w:rsidRPr="00AC426A">
        <w:rPr>
          <w:rFonts w:eastAsia="Calibri" w:cs="Calibri"/>
          <w:b/>
          <w:spacing w:val="3"/>
          <w:sz w:val="28"/>
          <w:szCs w:val="28"/>
        </w:rPr>
        <w:t>R</w:t>
      </w:r>
      <w:r w:rsidRPr="00AC426A">
        <w:rPr>
          <w:rFonts w:eastAsia="Calibri" w:cs="Calibri"/>
          <w:b/>
          <w:sz w:val="28"/>
          <w:szCs w:val="28"/>
        </w:rPr>
        <w:t>OP</w:t>
      </w:r>
      <w:r w:rsidRPr="00AC426A">
        <w:rPr>
          <w:rFonts w:eastAsia="Calibri" w:cs="Calibri"/>
          <w:b/>
          <w:spacing w:val="-1"/>
          <w:sz w:val="28"/>
          <w:szCs w:val="28"/>
        </w:rPr>
        <w:t>E</w:t>
      </w:r>
      <w:r w:rsidRPr="00AC426A">
        <w:rPr>
          <w:rFonts w:eastAsia="Calibri" w:cs="Calibri"/>
          <w:b/>
          <w:sz w:val="28"/>
          <w:szCs w:val="28"/>
        </w:rPr>
        <w:t>AN</w:t>
      </w:r>
      <w:r w:rsidRPr="00AC426A">
        <w:rPr>
          <w:rFonts w:eastAsia="Calibri" w:cs="Calibri"/>
          <w:b/>
          <w:spacing w:val="-1"/>
          <w:sz w:val="28"/>
          <w:szCs w:val="28"/>
        </w:rPr>
        <w:t xml:space="preserve"> </w:t>
      </w:r>
      <w:r w:rsidRPr="00AC426A">
        <w:rPr>
          <w:rFonts w:eastAsia="Calibri" w:cs="Calibri"/>
          <w:b/>
          <w:sz w:val="28"/>
          <w:szCs w:val="28"/>
        </w:rPr>
        <w:t>PAR</w:t>
      </w:r>
      <w:r w:rsidRPr="00AC426A">
        <w:rPr>
          <w:rFonts w:eastAsia="Calibri" w:cs="Calibri"/>
          <w:b/>
          <w:spacing w:val="1"/>
          <w:sz w:val="28"/>
          <w:szCs w:val="28"/>
        </w:rPr>
        <w:t>L</w:t>
      </w:r>
      <w:r w:rsidRPr="00AC426A">
        <w:rPr>
          <w:rFonts w:eastAsia="Calibri" w:cs="Calibri"/>
          <w:b/>
          <w:spacing w:val="-3"/>
          <w:sz w:val="28"/>
          <w:szCs w:val="28"/>
        </w:rPr>
        <w:t>I</w:t>
      </w:r>
      <w:r w:rsidRPr="00AC426A">
        <w:rPr>
          <w:rFonts w:eastAsia="Calibri" w:cs="Calibri"/>
          <w:b/>
          <w:sz w:val="28"/>
          <w:szCs w:val="28"/>
        </w:rPr>
        <w:t>AME</w:t>
      </w:r>
      <w:r w:rsidRPr="00AC426A">
        <w:rPr>
          <w:rFonts w:eastAsia="Calibri" w:cs="Calibri"/>
          <w:b/>
          <w:spacing w:val="-1"/>
          <w:sz w:val="28"/>
          <w:szCs w:val="28"/>
        </w:rPr>
        <w:t>N</w:t>
      </w:r>
      <w:r w:rsidRPr="00AC426A">
        <w:rPr>
          <w:rFonts w:eastAsia="Calibri" w:cs="Calibri"/>
          <w:b/>
          <w:sz w:val="28"/>
          <w:szCs w:val="28"/>
        </w:rPr>
        <w:t>T</w:t>
      </w:r>
    </w:p>
    <w:p w14:paraId="146EE294" w14:textId="77777777" w:rsidR="002326B9" w:rsidRPr="00AC426A" w:rsidRDefault="002326B9" w:rsidP="002326B9">
      <w:pPr>
        <w:spacing w:before="9" w:line="160" w:lineRule="exact"/>
        <w:rPr>
          <w:sz w:val="16"/>
          <w:szCs w:val="16"/>
        </w:rPr>
      </w:pPr>
    </w:p>
    <w:p w14:paraId="7CF7079A" w14:textId="77777777" w:rsidR="002326B9" w:rsidRPr="00AC426A" w:rsidRDefault="002326B9" w:rsidP="002326B9">
      <w:pPr>
        <w:ind w:left="3089" w:right="3088"/>
        <w:jc w:val="center"/>
        <w:rPr>
          <w:rFonts w:eastAsia="Calibri" w:cs="Calibri"/>
          <w:sz w:val="28"/>
          <w:szCs w:val="28"/>
        </w:rPr>
      </w:pPr>
      <w:r w:rsidRPr="00AC426A">
        <w:rPr>
          <w:rFonts w:eastAsia="Calibri" w:cs="Calibri"/>
          <w:b/>
          <w:sz w:val="28"/>
          <w:szCs w:val="28"/>
        </w:rPr>
        <w:t>AND OF THE CO</w:t>
      </w:r>
      <w:r w:rsidRPr="00AC426A">
        <w:rPr>
          <w:rFonts w:eastAsia="Calibri" w:cs="Calibri"/>
          <w:b/>
          <w:spacing w:val="-2"/>
          <w:sz w:val="28"/>
          <w:szCs w:val="28"/>
        </w:rPr>
        <w:t>U</w:t>
      </w:r>
      <w:r w:rsidRPr="00AC426A">
        <w:rPr>
          <w:rFonts w:eastAsia="Calibri" w:cs="Calibri"/>
          <w:b/>
          <w:spacing w:val="-3"/>
          <w:sz w:val="28"/>
          <w:szCs w:val="28"/>
        </w:rPr>
        <w:t>N</w:t>
      </w:r>
      <w:r w:rsidRPr="00AC426A">
        <w:rPr>
          <w:rFonts w:eastAsia="Calibri" w:cs="Calibri"/>
          <w:b/>
          <w:sz w:val="28"/>
          <w:szCs w:val="28"/>
        </w:rPr>
        <w:t>CIL</w:t>
      </w:r>
    </w:p>
    <w:p w14:paraId="2BEB95DC" w14:textId="77777777" w:rsidR="002326B9" w:rsidRPr="00AC426A" w:rsidRDefault="002326B9" w:rsidP="002326B9">
      <w:pPr>
        <w:spacing w:before="10" w:line="160" w:lineRule="exact"/>
        <w:rPr>
          <w:sz w:val="16"/>
          <w:szCs w:val="16"/>
        </w:rPr>
      </w:pPr>
    </w:p>
    <w:p w14:paraId="07E0D697" w14:textId="77777777" w:rsidR="002326B9" w:rsidRPr="00AC426A" w:rsidRDefault="002326B9" w:rsidP="002326B9">
      <w:pPr>
        <w:ind w:left="3645" w:right="3646"/>
        <w:jc w:val="center"/>
        <w:rPr>
          <w:rFonts w:eastAsia="Calibri" w:cs="Calibri"/>
          <w:sz w:val="24"/>
          <w:szCs w:val="24"/>
        </w:rPr>
      </w:pPr>
      <w:r w:rsidRPr="00AC426A">
        <w:rPr>
          <w:rFonts w:eastAsia="Calibri" w:cs="Calibri"/>
          <w:b/>
          <w:sz w:val="24"/>
          <w:szCs w:val="24"/>
        </w:rPr>
        <w:t>of</w:t>
      </w:r>
      <w:r w:rsidRPr="00AC426A">
        <w:rPr>
          <w:rFonts w:eastAsia="Calibri" w:cs="Calibri"/>
          <w:b/>
          <w:spacing w:val="2"/>
          <w:sz w:val="24"/>
          <w:szCs w:val="24"/>
        </w:rPr>
        <w:t xml:space="preserve"> </w:t>
      </w:r>
      <w:r w:rsidRPr="00AC426A">
        <w:rPr>
          <w:rFonts w:eastAsia="Calibri" w:cs="Calibri"/>
          <w:b/>
          <w:sz w:val="24"/>
          <w:szCs w:val="24"/>
        </w:rPr>
        <w:t>5</w:t>
      </w:r>
      <w:r w:rsidRPr="00AC426A">
        <w:rPr>
          <w:rFonts w:eastAsia="Calibri" w:cs="Calibri"/>
          <w:b/>
          <w:spacing w:val="-1"/>
          <w:sz w:val="24"/>
          <w:szCs w:val="24"/>
        </w:rPr>
        <w:t xml:space="preserve"> </w:t>
      </w:r>
      <w:r w:rsidRPr="00AC426A">
        <w:rPr>
          <w:rFonts w:eastAsia="Calibri" w:cs="Calibri"/>
          <w:b/>
          <w:sz w:val="24"/>
          <w:szCs w:val="24"/>
        </w:rPr>
        <w:t>Ju</w:t>
      </w:r>
      <w:r w:rsidRPr="00AC426A">
        <w:rPr>
          <w:rFonts w:eastAsia="Calibri" w:cs="Calibri"/>
          <w:b/>
          <w:spacing w:val="1"/>
          <w:sz w:val="24"/>
          <w:szCs w:val="24"/>
        </w:rPr>
        <w:t>n</w:t>
      </w:r>
      <w:r w:rsidRPr="00AC426A">
        <w:rPr>
          <w:rFonts w:eastAsia="Calibri" w:cs="Calibri"/>
          <w:b/>
          <w:sz w:val="24"/>
          <w:szCs w:val="24"/>
        </w:rPr>
        <w:t>e</w:t>
      </w:r>
      <w:r w:rsidRPr="00AC426A">
        <w:rPr>
          <w:rFonts w:eastAsia="Calibri" w:cs="Calibri"/>
          <w:b/>
          <w:spacing w:val="-2"/>
          <w:sz w:val="24"/>
          <w:szCs w:val="24"/>
        </w:rPr>
        <w:t xml:space="preserve"> </w:t>
      </w:r>
      <w:r w:rsidRPr="00AC426A">
        <w:rPr>
          <w:rFonts w:eastAsia="Calibri" w:cs="Calibri"/>
          <w:b/>
          <w:sz w:val="24"/>
          <w:szCs w:val="24"/>
        </w:rPr>
        <w:t>2</w:t>
      </w:r>
      <w:r w:rsidRPr="00AC426A">
        <w:rPr>
          <w:rFonts w:eastAsia="Calibri" w:cs="Calibri"/>
          <w:b/>
          <w:spacing w:val="1"/>
          <w:sz w:val="24"/>
          <w:szCs w:val="24"/>
        </w:rPr>
        <w:t>0</w:t>
      </w:r>
      <w:r w:rsidRPr="00AC426A">
        <w:rPr>
          <w:rFonts w:eastAsia="Calibri" w:cs="Calibri"/>
          <w:b/>
          <w:spacing w:val="-2"/>
          <w:sz w:val="24"/>
          <w:szCs w:val="24"/>
        </w:rPr>
        <w:t>1</w:t>
      </w:r>
      <w:r w:rsidRPr="00AC426A">
        <w:rPr>
          <w:rFonts w:eastAsia="Calibri" w:cs="Calibri"/>
          <w:b/>
          <w:sz w:val="24"/>
          <w:szCs w:val="24"/>
        </w:rPr>
        <w:t>9</w:t>
      </w:r>
    </w:p>
    <w:p w14:paraId="57952523" w14:textId="77777777" w:rsidR="002326B9" w:rsidRPr="00AC426A" w:rsidRDefault="002326B9" w:rsidP="002326B9">
      <w:pPr>
        <w:spacing w:before="6" w:line="140" w:lineRule="exact"/>
        <w:rPr>
          <w:sz w:val="14"/>
          <w:szCs w:val="14"/>
        </w:rPr>
      </w:pPr>
    </w:p>
    <w:p w14:paraId="0FBE9818" w14:textId="77777777" w:rsidR="002326B9" w:rsidRPr="00AC426A" w:rsidRDefault="002326B9" w:rsidP="00AC426A">
      <w:pPr>
        <w:spacing w:line="359" w:lineRule="auto"/>
        <w:ind w:left="757" w:right="425"/>
        <w:jc w:val="center"/>
        <w:rPr>
          <w:rFonts w:eastAsia="Calibri" w:cs="Calibri"/>
          <w:sz w:val="24"/>
          <w:szCs w:val="24"/>
        </w:rPr>
      </w:pPr>
      <w:r w:rsidRPr="00AC426A">
        <w:rPr>
          <w:rFonts w:eastAsia="Calibri" w:cs="Calibri"/>
          <w:b/>
          <w:spacing w:val="1"/>
          <w:sz w:val="24"/>
          <w:szCs w:val="24"/>
        </w:rPr>
        <w:t>l</w:t>
      </w:r>
      <w:r w:rsidRPr="00AC426A">
        <w:rPr>
          <w:rFonts w:eastAsia="Calibri" w:cs="Calibri"/>
          <w:b/>
          <w:spacing w:val="-1"/>
          <w:sz w:val="24"/>
          <w:szCs w:val="24"/>
        </w:rPr>
        <w:t>ay</w:t>
      </w:r>
      <w:r w:rsidRPr="00AC426A">
        <w:rPr>
          <w:rFonts w:eastAsia="Calibri" w:cs="Calibri"/>
          <w:b/>
          <w:spacing w:val="1"/>
          <w:sz w:val="24"/>
          <w:szCs w:val="24"/>
        </w:rPr>
        <w:t>i</w:t>
      </w:r>
      <w:r w:rsidRPr="00AC426A">
        <w:rPr>
          <w:rFonts w:eastAsia="Calibri" w:cs="Calibri"/>
          <w:b/>
          <w:sz w:val="24"/>
          <w:szCs w:val="24"/>
        </w:rPr>
        <w:t>ng do</w:t>
      </w:r>
      <w:r w:rsidRPr="00AC426A">
        <w:rPr>
          <w:rFonts w:eastAsia="Calibri" w:cs="Calibri"/>
          <w:b/>
          <w:spacing w:val="-1"/>
          <w:sz w:val="24"/>
          <w:szCs w:val="24"/>
        </w:rPr>
        <w:t>w</w:t>
      </w:r>
      <w:r w:rsidRPr="00AC426A">
        <w:rPr>
          <w:rFonts w:eastAsia="Calibri" w:cs="Calibri"/>
          <w:b/>
          <w:sz w:val="24"/>
          <w:szCs w:val="24"/>
        </w:rPr>
        <w:t>n</w:t>
      </w:r>
      <w:r w:rsidRPr="00AC426A">
        <w:rPr>
          <w:rFonts w:eastAsia="Calibri" w:cs="Calibri"/>
          <w:b/>
          <w:spacing w:val="-1"/>
          <w:sz w:val="24"/>
          <w:szCs w:val="24"/>
        </w:rPr>
        <w:t xml:space="preserve"> </w:t>
      </w:r>
      <w:r w:rsidRPr="00AC426A">
        <w:rPr>
          <w:rFonts w:eastAsia="Calibri" w:cs="Calibri"/>
          <w:b/>
          <w:spacing w:val="1"/>
          <w:sz w:val="24"/>
          <w:szCs w:val="24"/>
        </w:rPr>
        <w:t>r</w:t>
      </w:r>
      <w:r w:rsidRPr="00AC426A">
        <w:rPr>
          <w:rFonts w:eastAsia="Calibri" w:cs="Calibri"/>
          <w:b/>
          <w:sz w:val="24"/>
          <w:szCs w:val="24"/>
        </w:rPr>
        <w:t>u</w:t>
      </w:r>
      <w:r w:rsidRPr="00AC426A">
        <w:rPr>
          <w:rFonts w:eastAsia="Calibri" w:cs="Calibri"/>
          <w:b/>
          <w:spacing w:val="1"/>
          <w:sz w:val="24"/>
          <w:szCs w:val="24"/>
        </w:rPr>
        <w:t>l</w:t>
      </w:r>
      <w:r w:rsidRPr="00AC426A">
        <w:rPr>
          <w:rFonts w:eastAsia="Calibri" w:cs="Calibri"/>
          <w:b/>
          <w:spacing w:val="-1"/>
          <w:sz w:val="24"/>
          <w:szCs w:val="24"/>
        </w:rPr>
        <w:t>e</w:t>
      </w:r>
      <w:r w:rsidRPr="00AC426A">
        <w:rPr>
          <w:rFonts w:eastAsia="Calibri" w:cs="Calibri"/>
          <w:b/>
          <w:sz w:val="24"/>
          <w:szCs w:val="24"/>
        </w:rPr>
        <w:t>s</w:t>
      </w:r>
      <w:r w:rsidRPr="00AC426A">
        <w:rPr>
          <w:rFonts w:eastAsia="Calibri" w:cs="Calibri"/>
          <w:b/>
          <w:spacing w:val="-1"/>
          <w:sz w:val="24"/>
          <w:szCs w:val="24"/>
        </w:rPr>
        <w:t xml:space="preserve"> </w:t>
      </w:r>
      <w:r w:rsidRPr="00AC426A">
        <w:rPr>
          <w:rFonts w:eastAsia="Calibri" w:cs="Calibri"/>
          <w:b/>
          <w:sz w:val="24"/>
          <w:szCs w:val="24"/>
        </w:rPr>
        <w:t>on t</w:t>
      </w:r>
      <w:r w:rsidRPr="00AC426A">
        <w:rPr>
          <w:rFonts w:eastAsia="Calibri" w:cs="Calibri"/>
          <w:b/>
          <w:spacing w:val="1"/>
          <w:sz w:val="24"/>
          <w:szCs w:val="24"/>
        </w:rPr>
        <w:t>h</w:t>
      </w:r>
      <w:r w:rsidRPr="00AC426A">
        <w:rPr>
          <w:rFonts w:eastAsia="Calibri" w:cs="Calibri"/>
          <w:b/>
          <w:sz w:val="24"/>
          <w:szCs w:val="24"/>
        </w:rPr>
        <w:t>e</w:t>
      </w:r>
      <w:r w:rsidRPr="00AC426A">
        <w:rPr>
          <w:rFonts w:eastAsia="Calibri" w:cs="Calibri"/>
          <w:b/>
          <w:spacing w:val="-2"/>
          <w:sz w:val="24"/>
          <w:szCs w:val="24"/>
        </w:rPr>
        <w:t xml:space="preserve"> </w:t>
      </w:r>
      <w:r w:rsidRPr="00AC426A">
        <w:rPr>
          <w:rFonts w:eastAsia="Calibri" w:cs="Calibri"/>
          <w:b/>
          <w:spacing w:val="-1"/>
          <w:sz w:val="24"/>
          <w:szCs w:val="24"/>
        </w:rPr>
        <w:t>ma</w:t>
      </w:r>
      <w:r w:rsidRPr="00AC426A">
        <w:rPr>
          <w:rFonts w:eastAsia="Calibri" w:cs="Calibri"/>
          <w:b/>
          <w:sz w:val="24"/>
          <w:szCs w:val="24"/>
        </w:rPr>
        <w:t>k</w:t>
      </w:r>
      <w:r w:rsidRPr="00AC426A">
        <w:rPr>
          <w:rFonts w:eastAsia="Calibri" w:cs="Calibri"/>
          <w:b/>
          <w:spacing w:val="1"/>
          <w:sz w:val="24"/>
          <w:szCs w:val="24"/>
        </w:rPr>
        <w:t>i</w:t>
      </w:r>
      <w:r w:rsidRPr="00AC426A">
        <w:rPr>
          <w:rFonts w:eastAsia="Calibri" w:cs="Calibri"/>
          <w:b/>
          <w:sz w:val="24"/>
          <w:szCs w:val="24"/>
        </w:rPr>
        <w:t xml:space="preserve">ng </w:t>
      </w:r>
      <w:r w:rsidRPr="00AC426A">
        <w:rPr>
          <w:rFonts w:eastAsia="Calibri" w:cs="Calibri"/>
          <w:b/>
          <w:spacing w:val="-1"/>
          <w:sz w:val="24"/>
          <w:szCs w:val="24"/>
        </w:rPr>
        <w:t>a</w:t>
      </w:r>
      <w:r w:rsidRPr="00AC426A">
        <w:rPr>
          <w:rFonts w:eastAsia="Calibri" w:cs="Calibri"/>
          <w:b/>
          <w:sz w:val="24"/>
          <w:szCs w:val="24"/>
        </w:rPr>
        <w:t>v</w:t>
      </w:r>
      <w:r w:rsidRPr="00AC426A">
        <w:rPr>
          <w:rFonts w:eastAsia="Calibri" w:cs="Calibri"/>
          <w:b/>
          <w:spacing w:val="-2"/>
          <w:sz w:val="24"/>
          <w:szCs w:val="24"/>
        </w:rPr>
        <w:t>a</w:t>
      </w:r>
      <w:r w:rsidRPr="00AC426A">
        <w:rPr>
          <w:rFonts w:eastAsia="Calibri" w:cs="Calibri"/>
          <w:b/>
          <w:spacing w:val="1"/>
          <w:sz w:val="24"/>
          <w:szCs w:val="24"/>
        </w:rPr>
        <w:t>il</w:t>
      </w:r>
      <w:r w:rsidRPr="00AC426A">
        <w:rPr>
          <w:rFonts w:eastAsia="Calibri" w:cs="Calibri"/>
          <w:b/>
          <w:spacing w:val="-1"/>
          <w:sz w:val="24"/>
          <w:szCs w:val="24"/>
        </w:rPr>
        <w:t>a</w:t>
      </w:r>
      <w:r w:rsidRPr="00AC426A">
        <w:rPr>
          <w:rFonts w:eastAsia="Calibri" w:cs="Calibri"/>
          <w:b/>
          <w:sz w:val="24"/>
          <w:szCs w:val="24"/>
        </w:rPr>
        <w:t>b</w:t>
      </w:r>
      <w:r w:rsidRPr="00AC426A">
        <w:rPr>
          <w:rFonts w:eastAsia="Calibri" w:cs="Calibri"/>
          <w:b/>
          <w:spacing w:val="1"/>
          <w:sz w:val="24"/>
          <w:szCs w:val="24"/>
        </w:rPr>
        <w:t>l</w:t>
      </w:r>
      <w:r w:rsidRPr="00AC426A">
        <w:rPr>
          <w:rFonts w:eastAsia="Calibri" w:cs="Calibri"/>
          <w:b/>
          <w:sz w:val="24"/>
          <w:szCs w:val="24"/>
        </w:rPr>
        <w:t>e on t</w:t>
      </w:r>
      <w:r w:rsidRPr="00AC426A">
        <w:rPr>
          <w:rFonts w:eastAsia="Calibri" w:cs="Calibri"/>
          <w:b/>
          <w:spacing w:val="1"/>
          <w:sz w:val="24"/>
          <w:szCs w:val="24"/>
        </w:rPr>
        <w:t>h</w:t>
      </w:r>
      <w:r w:rsidRPr="00AC426A">
        <w:rPr>
          <w:rFonts w:eastAsia="Calibri" w:cs="Calibri"/>
          <w:b/>
          <w:sz w:val="24"/>
          <w:szCs w:val="24"/>
        </w:rPr>
        <w:t>e</w:t>
      </w:r>
      <w:r w:rsidRPr="00AC426A">
        <w:rPr>
          <w:rFonts w:eastAsia="Calibri" w:cs="Calibri"/>
          <w:b/>
          <w:spacing w:val="-2"/>
          <w:sz w:val="24"/>
          <w:szCs w:val="24"/>
        </w:rPr>
        <w:t xml:space="preserve"> </w:t>
      </w:r>
      <w:r w:rsidRPr="00AC426A">
        <w:rPr>
          <w:rFonts w:eastAsia="Calibri" w:cs="Calibri"/>
          <w:b/>
          <w:spacing w:val="-1"/>
          <w:sz w:val="24"/>
          <w:szCs w:val="24"/>
        </w:rPr>
        <w:t>ma</w:t>
      </w:r>
      <w:r w:rsidRPr="00AC426A">
        <w:rPr>
          <w:rFonts w:eastAsia="Calibri" w:cs="Calibri"/>
          <w:b/>
          <w:spacing w:val="1"/>
          <w:sz w:val="24"/>
          <w:szCs w:val="24"/>
        </w:rPr>
        <w:t>r</w:t>
      </w:r>
      <w:r w:rsidRPr="00AC426A">
        <w:rPr>
          <w:rFonts w:eastAsia="Calibri" w:cs="Calibri"/>
          <w:b/>
          <w:sz w:val="24"/>
          <w:szCs w:val="24"/>
        </w:rPr>
        <w:t>k</w:t>
      </w:r>
      <w:r w:rsidRPr="00AC426A">
        <w:rPr>
          <w:rFonts w:eastAsia="Calibri" w:cs="Calibri"/>
          <w:b/>
          <w:spacing w:val="-1"/>
          <w:sz w:val="24"/>
          <w:szCs w:val="24"/>
        </w:rPr>
        <w:t>e</w:t>
      </w:r>
      <w:r w:rsidRPr="00AC426A">
        <w:rPr>
          <w:rFonts w:eastAsia="Calibri" w:cs="Calibri"/>
          <w:b/>
          <w:sz w:val="24"/>
          <w:szCs w:val="24"/>
        </w:rPr>
        <w:t>t</w:t>
      </w:r>
      <w:r w:rsidRPr="00AC426A">
        <w:rPr>
          <w:rFonts w:eastAsia="Calibri" w:cs="Calibri"/>
          <w:b/>
          <w:spacing w:val="2"/>
          <w:sz w:val="24"/>
          <w:szCs w:val="24"/>
        </w:rPr>
        <w:t xml:space="preserve"> </w:t>
      </w:r>
      <w:r w:rsidRPr="00AC426A">
        <w:rPr>
          <w:rFonts w:eastAsia="Calibri" w:cs="Calibri"/>
          <w:b/>
          <w:sz w:val="24"/>
          <w:szCs w:val="24"/>
        </w:rPr>
        <w:t>of EU</w:t>
      </w:r>
      <w:r w:rsidRPr="00AC426A">
        <w:rPr>
          <w:rFonts w:eastAsia="Calibri" w:cs="Calibri"/>
          <w:b/>
          <w:spacing w:val="1"/>
          <w:sz w:val="24"/>
          <w:szCs w:val="24"/>
        </w:rPr>
        <w:t xml:space="preserve"> f</w:t>
      </w:r>
      <w:r w:rsidRPr="00AC426A">
        <w:rPr>
          <w:rFonts w:eastAsia="Calibri" w:cs="Calibri"/>
          <w:b/>
          <w:spacing w:val="-1"/>
          <w:sz w:val="24"/>
          <w:szCs w:val="24"/>
        </w:rPr>
        <w:t>er</w:t>
      </w:r>
      <w:r w:rsidRPr="00AC426A">
        <w:rPr>
          <w:rFonts w:eastAsia="Calibri" w:cs="Calibri"/>
          <w:b/>
          <w:sz w:val="24"/>
          <w:szCs w:val="24"/>
        </w:rPr>
        <w:t>t</w:t>
      </w:r>
      <w:r w:rsidRPr="00AC426A">
        <w:rPr>
          <w:rFonts w:eastAsia="Calibri" w:cs="Calibri"/>
          <w:b/>
          <w:spacing w:val="1"/>
          <w:sz w:val="24"/>
          <w:szCs w:val="24"/>
        </w:rPr>
        <w:t>i</w:t>
      </w:r>
      <w:r w:rsidRPr="00AC426A">
        <w:rPr>
          <w:rFonts w:eastAsia="Calibri" w:cs="Calibri"/>
          <w:b/>
          <w:spacing w:val="-1"/>
          <w:sz w:val="24"/>
          <w:szCs w:val="24"/>
        </w:rPr>
        <w:t>l</w:t>
      </w:r>
      <w:r w:rsidRPr="00AC426A">
        <w:rPr>
          <w:rFonts w:eastAsia="Calibri" w:cs="Calibri"/>
          <w:b/>
          <w:spacing w:val="1"/>
          <w:sz w:val="24"/>
          <w:szCs w:val="24"/>
        </w:rPr>
        <w:t>i</w:t>
      </w:r>
      <w:r w:rsidRPr="00AC426A">
        <w:rPr>
          <w:rFonts w:eastAsia="Calibri" w:cs="Calibri"/>
          <w:b/>
          <w:sz w:val="24"/>
          <w:szCs w:val="24"/>
        </w:rPr>
        <w:t>s</w:t>
      </w:r>
      <w:r w:rsidRPr="00AC426A">
        <w:rPr>
          <w:rFonts w:eastAsia="Calibri" w:cs="Calibri"/>
          <w:b/>
          <w:spacing w:val="-1"/>
          <w:sz w:val="24"/>
          <w:szCs w:val="24"/>
        </w:rPr>
        <w:t>i</w:t>
      </w:r>
      <w:r w:rsidRPr="00AC426A">
        <w:rPr>
          <w:rFonts w:eastAsia="Calibri" w:cs="Calibri"/>
          <w:b/>
          <w:sz w:val="24"/>
          <w:szCs w:val="24"/>
        </w:rPr>
        <w:t>ng p</w:t>
      </w:r>
      <w:r w:rsidRPr="00AC426A">
        <w:rPr>
          <w:rFonts w:eastAsia="Calibri" w:cs="Calibri"/>
          <w:b/>
          <w:spacing w:val="1"/>
          <w:sz w:val="24"/>
          <w:szCs w:val="24"/>
        </w:rPr>
        <w:t>r</w:t>
      </w:r>
      <w:r w:rsidRPr="00AC426A">
        <w:rPr>
          <w:rFonts w:eastAsia="Calibri" w:cs="Calibri"/>
          <w:b/>
          <w:sz w:val="24"/>
          <w:szCs w:val="24"/>
        </w:rPr>
        <w:t>o</w:t>
      </w:r>
      <w:r w:rsidRPr="00AC426A">
        <w:rPr>
          <w:rFonts w:eastAsia="Calibri" w:cs="Calibri"/>
          <w:b/>
          <w:spacing w:val="-1"/>
          <w:sz w:val="24"/>
          <w:szCs w:val="24"/>
        </w:rPr>
        <w:t>d</w:t>
      </w:r>
      <w:r w:rsidRPr="00AC426A">
        <w:rPr>
          <w:rFonts w:eastAsia="Calibri" w:cs="Calibri"/>
          <w:b/>
          <w:sz w:val="24"/>
          <w:szCs w:val="24"/>
        </w:rPr>
        <w:t>uc</w:t>
      </w:r>
      <w:r w:rsidRPr="00AC426A">
        <w:rPr>
          <w:rFonts w:eastAsia="Calibri" w:cs="Calibri"/>
          <w:b/>
          <w:spacing w:val="1"/>
          <w:sz w:val="24"/>
          <w:szCs w:val="24"/>
        </w:rPr>
        <w:t>t</w:t>
      </w:r>
      <w:r w:rsidRPr="00AC426A">
        <w:rPr>
          <w:rFonts w:eastAsia="Calibri" w:cs="Calibri"/>
          <w:b/>
          <w:sz w:val="24"/>
          <w:szCs w:val="24"/>
        </w:rPr>
        <w:t>s</w:t>
      </w:r>
      <w:r w:rsidRPr="00AC426A">
        <w:rPr>
          <w:rFonts w:eastAsia="Calibri" w:cs="Calibri"/>
          <w:b/>
          <w:spacing w:val="-1"/>
          <w:sz w:val="24"/>
          <w:szCs w:val="24"/>
        </w:rPr>
        <w:t xml:space="preserve"> a</w:t>
      </w:r>
      <w:r w:rsidRPr="00AC426A">
        <w:rPr>
          <w:rFonts w:eastAsia="Calibri" w:cs="Calibri"/>
          <w:b/>
          <w:sz w:val="24"/>
          <w:szCs w:val="24"/>
        </w:rPr>
        <w:t>nd</w:t>
      </w:r>
      <w:r w:rsidRPr="00AC426A">
        <w:rPr>
          <w:rFonts w:eastAsia="Calibri" w:cs="Calibri"/>
          <w:b/>
          <w:spacing w:val="1"/>
          <w:sz w:val="24"/>
          <w:szCs w:val="24"/>
        </w:rPr>
        <w:t xml:space="preserve"> </w:t>
      </w:r>
      <w:r w:rsidRPr="00AC426A">
        <w:rPr>
          <w:rFonts w:eastAsia="Calibri" w:cs="Calibri"/>
          <w:b/>
          <w:spacing w:val="-1"/>
          <w:sz w:val="24"/>
          <w:szCs w:val="24"/>
        </w:rPr>
        <w:t>ame</w:t>
      </w:r>
      <w:r w:rsidRPr="00AC426A">
        <w:rPr>
          <w:rFonts w:eastAsia="Calibri" w:cs="Calibri"/>
          <w:b/>
          <w:sz w:val="24"/>
          <w:szCs w:val="24"/>
        </w:rPr>
        <w:t>nd</w:t>
      </w:r>
      <w:r w:rsidRPr="00AC426A">
        <w:rPr>
          <w:rFonts w:eastAsia="Calibri" w:cs="Calibri"/>
          <w:b/>
          <w:spacing w:val="-1"/>
          <w:sz w:val="24"/>
          <w:szCs w:val="24"/>
        </w:rPr>
        <w:t>i</w:t>
      </w:r>
      <w:r w:rsidRPr="00AC426A">
        <w:rPr>
          <w:rFonts w:eastAsia="Calibri" w:cs="Calibri"/>
          <w:b/>
          <w:sz w:val="24"/>
          <w:szCs w:val="24"/>
        </w:rPr>
        <w:t>ng</w:t>
      </w:r>
      <w:r w:rsidRPr="00AC426A">
        <w:rPr>
          <w:rFonts w:eastAsia="Calibri" w:cs="Calibri"/>
          <w:b/>
          <w:spacing w:val="-2"/>
          <w:sz w:val="24"/>
          <w:szCs w:val="24"/>
        </w:rPr>
        <w:t xml:space="preserve"> </w:t>
      </w:r>
      <w:r w:rsidRPr="00AC426A">
        <w:rPr>
          <w:rFonts w:eastAsia="Calibri" w:cs="Calibri"/>
          <w:b/>
          <w:spacing w:val="-1"/>
          <w:sz w:val="24"/>
          <w:szCs w:val="24"/>
        </w:rPr>
        <w:t>Reg</w:t>
      </w:r>
      <w:r w:rsidRPr="00AC426A">
        <w:rPr>
          <w:rFonts w:eastAsia="Calibri" w:cs="Calibri"/>
          <w:b/>
          <w:sz w:val="24"/>
          <w:szCs w:val="24"/>
        </w:rPr>
        <w:t>u</w:t>
      </w:r>
      <w:r w:rsidRPr="00AC426A">
        <w:rPr>
          <w:rFonts w:eastAsia="Calibri" w:cs="Calibri"/>
          <w:b/>
          <w:spacing w:val="1"/>
          <w:sz w:val="24"/>
          <w:szCs w:val="24"/>
        </w:rPr>
        <w:t>l</w:t>
      </w:r>
      <w:r w:rsidRPr="00AC426A">
        <w:rPr>
          <w:rFonts w:eastAsia="Calibri" w:cs="Calibri"/>
          <w:b/>
          <w:spacing w:val="-1"/>
          <w:sz w:val="24"/>
          <w:szCs w:val="24"/>
        </w:rPr>
        <w:t>a</w:t>
      </w:r>
      <w:r w:rsidRPr="00AC426A">
        <w:rPr>
          <w:rFonts w:eastAsia="Calibri" w:cs="Calibri"/>
          <w:b/>
          <w:sz w:val="24"/>
          <w:szCs w:val="24"/>
        </w:rPr>
        <w:t>t</w:t>
      </w:r>
      <w:r w:rsidRPr="00AC426A">
        <w:rPr>
          <w:rFonts w:eastAsia="Calibri" w:cs="Calibri"/>
          <w:b/>
          <w:spacing w:val="1"/>
          <w:sz w:val="24"/>
          <w:szCs w:val="24"/>
        </w:rPr>
        <w:t>i</w:t>
      </w:r>
      <w:r w:rsidRPr="00AC426A">
        <w:rPr>
          <w:rFonts w:eastAsia="Calibri" w:cs="Calibri"/>
          <w:b/>
          <w:sz w:val="24"/>
          <w:szCs w:val="24"/>
        </w:rPr>
        <w:t>o</w:t>
      </w:r>
      <w:r w:rsidRPr="00AC426A">
        <w:rPr>
          <w:rFonts w:eastAsia="Calibri" w:cs="Calibri"/>
          <w:b/>
          <w:spacing w:val="1"/>
          <w:sz w:val="24"/>
          <w:szCs w:val="24"/>
        </w:rPr>
        <w:t>n</w:t>
      </w:r>
      <w:r w:rsidRPr="00AC426A">
        <w:rPr>
          <w:rFonts w:eastAsia="Calibri" w:cs="Calibri"/>
          <w:b/>
          <w:sz w:val="24"/>
          <w:szCs w:val="24"/>
        </w:rPr>
        <w:t>s</w:t>
      </w:r>
      <w:r w:rsidRPr="00AC426A">
        <w:rPr>
          <w:rFonts w:eastAsia="Calibri" w:cs="Calibri"/>
          <w:b/>
          <w:spacing w:val="1"/>
          <w:sz w:val="24"/>
          <w:szCs w:val="24"/>
        </w:rPr>
        <w:t xml:space="preserve"> </w:t>
      </w:r>
      <w:r w:rsidRPr="00AC426A">
        <w:rPr>
          <w:rFonts w:eastAsia="Calibri" w:cs="Calibri"/>
          <w:b/>
          <w:sz w:val="24"/>
          <w:szCs w:val="24"/>
        </w:rPr>
        <w:t>(EC)</w:t>
      </w:r>
      <w:r w:rsidRPr="00AC426A">
        <w:rPr>
          <w:rFonts w:eastAsia="Calibri" w:cs="Calibri"/>
          <w:b/>
          <w:spacing w:val="-2"/>
          <w:sz w:val="24"/>
          <w:szCs w:val="24"/>
        </w:rPr>
        <w:t xml:space="preserve"> </w:t>
      </w:r>
      <w:r w:rsidRPr="00AC426A">
        <w:rPr>
          <w:rFonts w:eastAsia="Calibri" w:cs="Calibri"/>
          <w:b/>
          <w:sz w:val="24"/>
          <w:szCs w:val="24"/>
        </w:rPr>
        <w:t>No</w:t>
      </w:r>
      <w:r w:rsidRPr="00AC426A">
        <w:rPr>
          <w:rFonts w:eastAsia="Calibri" w:cs="Calibri"/>
          <w:b/>
          <w:spacing w:val="-1"/>
          <w:sz w:val="24"/>
          <w:szCs w:val="24"/>
        </w:rPr>
        <w:t xml:space="preserve"> </w:t>
      </w:r>
      <w:r w:rsidRPr="00AC426A">
        <w:rPr>
          <w:rFonts w:eastAsia="Calibri" w:cs="Calibri"/>
          <w:b/>
          <w:sz w:val="24"/>
          <w:szCs w:val="24"/>
        </w:rPr>
        <w:t>1</w:t>
      </w:r>
      <w:r w:rsidRPr="00AC426A">
        <w:rPr>
          <w:rFonts w:eastAsia="Calibri" w:cs="Calibri"/>
          <w:b/>
          <w:spacing w:val="1"/>
          <w:sz w:val="24"/>
          <w:szCs w:val="24"/>
        </w:rPr>
        <w:t>0</w:t>
      </w:r>
      <w:r w:rsidRPr="00AC426A">
        <w:rPr>
          <w:rFonts w:eastAsia="Calibri" w:cs="Calibri"/>
          <w:b/>
          <w:spacing w:val="-2"/>
          <w:sz w:val="24"/>
          <w:szCs w:val="24"/>
        </w:rPr>
        <w:t>6</w:t>
      </w:r>
      <w:r w:rsidRPr="00AC426A">
        <w:rPr>
          <w:rFonts w:eastAsia="Calibri" w:cs="Calibri"/>
          <w:b/>
          <w:sz w:val="24"/>
          <w:szCs w:val="24"/>
        </w:rPr>
        <w:t>9/</w:t>
      </w:r>
      <w:r w:rsidRPr="00AC426A">
        <w:rPr>
          <w:rFonts w:eastAsia="Calibri" w:cs="Calibri"/>
          <w:b/>
          <w:spacing w:val="1"/>
          <w:sz w:val="24"/>
          <w:szCs w:val="24"/>
        </w:rPr>
        <w:t>2</w:t>
      </w:r>
      <w:r w:rsidRPr="00AC426A">
        <w:rPr>
          <w:rFonts w:eastAsia="Calibri" w:cs="Calibri"/>
          <w:b/>
          <w:sz w:val="24"/>
          <w:szCs w:val="24"/>
        </w:rPr>
        <w:t>0</w:t>
      </w:r>
      <w:r w:rsidRPr="00AC426A">
        <w:rPr>
          <w:rFonts w:eastAsia="Calibri" w:cs="Calibri"/>
          <w:b/>
          <w:spacing w:val="-1"/>
          <w:sz w:val="24"/>
          <w:szCs w:val="24"/>
        </w:rPr>
        <w:t>0</w:t>
      </w:r>
      <w:r w:rsidRPr="00AC426A">
        <w:rPr>
          <w:rFonts w:eastAsia="Calibri" w:cs="Calibri"/>
          <w:b/>
          <w:sz w:val="24"/>
          <w:szCs w:val="24"/>
        </w:rPr>
        <w:t>9</w:t>
      </w:r>
      <w:r w:rsidRPr="00AC426A">
        <w:rPr>
          <w:rFonts w:eastAsia="Calibri" w:cs="Calibri"/>
          <w:b/>
          <w:spacing w:val="1"/>
          <w:sz w:val="24"/>
          <w:szCs w:val="24"/>
        </w:rPr>
        <w:t xml:space="preserve"> </w:t>
      </w:r>
      <w:r w:rsidRPr="00AC426A">
        <w:rPr>
          <w:rFonts w:eastAsia="Calibri" w:cs="Calibri"/>
          <w:b/>
          <w:spacing w:val="-1"/>
          <w:sz w:val="24"/>
          <w:szCs w:val="24"/>
        </w:rPr>
        <w:t>a</w:t>
      </w:r>
      <w:r w:rsidRPr="00AC426A">
        <w:rPr>
          <w:rFonts w:eastAsia="Calibri" w:cs="Calibri"/>
          <w:b/>
          <w:sz w:val="24"/>
          <w:szCs w:val="24"/>
        </w:rPr>
        <w:t>nd</w:t>
      </w:r>
      <w:r w:rsidRPr="00AC426A">
        <w:rPr>
          <w:rFonts w:eastAsia="Calibri" w:cs="Calibri"/>
          <w:b/>
          <w:spacing w:val="-1"/>
          <w:sz w:val="24"/>
          <w:szCs w:val="24"/>
        </w:rPr>
        <w:t xml:space="preserve"> </w:t>
      </w:r>
      <w:r w:rsidRPr="00AC426A">
        <w:rPr>
          <w:rFonts w:eastAsia="Calibri" w:cs="Calibri"/>
          <w:b/>
          <w:sz w:val="24"/>
          <w:szCs w:val="24"/>
        </w:rPr>
        <w:t xml:space="preserve">(EC) </w:t>
      </w:r>
      <w:r w:rsidRPr="00AC426A">
        <w:rPr>
          <w:rFonts w:eastAsia="Calibri" w:cs="Calibri"/>
          <w:b/>
          <w:spacing w:val="1"/>
          <w:sz w:val="24"/>
          <w:szCs w:val="24"/>
        </w:rPr>
        <w:t>N</w:t>
      </w:r>
      <w:r w:rsidRPr="00AC426A">
        <w:rPr>
          <w:rFonts w:eastAsia="Calibri" w:cs="Calibri"/>
          <w:b/>
          <w:sz w:val="24"/>
          <w:szCs w:val="24"/>
        </w:rPr>
        <w:t>o</w:t>
      </w:r>
    </w:p>
    <w:p w14:paraId="69B17513" w14:textId="382BAEE8" w:rsidR="002326B9" w:rsidRPr="00AC426A" w:rsidRDefault="002326B9" w:rsidP="00F158A6">
      <w:pPr>
        <w:spacing w:before="26" w:after="720"/>
        <w:ind w:left="1588" w:right="1593"/>
        <w:jc w:val="center"/>
        <w:rPr>
          <w:rFonts w:eastAsia="Calibri" w:cs="Calibri"/>
          <w:sz w:val="24"/>
          <w:szCs w:val="24"/>
        </w:rPr>
      </w:pPr>
      <w:r w:rsidRPr="00AC426A">
        <w:rPr>
          <w:rFonts w:eastAsia="Calibri" w:cs="Calibri"/>
          <w:b/>
          <w:sz w:val="24"/>
          <w:szCs w:val="24"/>
        </w:rPr>
        <w:t>1</w:t>
      </w:r>
      <w:r w:rsidRPr="00AC426A">
        <w:rPr>
          <w:rFonts w:eastAsia="Calibri" w:cs="Calibri"/>
          <w:b/>
          <w:spacing w:val="1"/>
          <w:sz w:val="24"/>
          <w:szCs w:val="24"/>
        </w:rPr>
        <w:t>1</w:t>
      </w:r>
      <w:r w:rsidRPr="00AC426A">
        <w:rPr>
          <w:rFonts w:eastAsia="Calibri" w:cs="Calibri"/>
          <w:b/>
          <w:sz w:val="24"/>
          <w:szCs w:val="24"/>
        </w:rPr>
        <w:t>0</w:t>
      </w:r>
      <w:r w:rsidRPr="00AC426A">
        <w:rPr>
          <w:rFonts w:eastAsia="Calibri" w:cs="Calibri"/>
          <w:b/>
          <w:spacing w:val="1"/>
          <w:sz w:val="24"/>
          <w:szCs w:val="24"/>
        </w:rPr>
        <w:t>7</w:t>
      </w:r>
      <w:r w:rsidRPr="00AC426A">
        <w:rPr>
          <w:rFonts w:eastAsia="Calibri" w:cs="Calibri"/>
          <w:b/>
          <w:spacing w:val="-2"/>
          <w:sz w:val="24"/>
          <w:szCs w:val="24"/>
        </w:rPr>
        <w:t>/</w:t>
      </w:r>
      <w:r w:rsidRPr="00AC426A">
        <w:rPr>
          <w:rFonts w:eastAsia="Calibri" w:cs="Calibri"/>
          <w:b/>
          <w:sz w:val="24"/>
          <w:szCs w:val="24"/>
        </w:rPr>
        <w:t>2</w:t>
      </w:r>
      <w:r w:rsidRPr="00AC426A">
        <w:rPr>
          <w:rFonts w:eastAsia="Calibri" w:cs="Calibri"/>
          <w:b/>
          <w:spacing w:val="1"/>
          <w:sz w:val="24"/>
          <w:szCs w:val="24"/>
        </w:rPr>
        <w:t>0</w:t>
      </w:r>
      <w:r w:rsidRPr="00AC426A">
        <w:rPr>
          <w:rFonts w:eastAsia="Calibri" w:cs="Calibri"/>
          <w:b/>
          <w:spacing w:val="-2"/>
          <w:sz w:val="24"/>
          <w:szCs w:val="24"/>
        </w:rPr>
        <w:t>0</w:t>
      </w:r>
      <w:r w:rsidRPr="00AC426A">
        <w:rPr>
          <w:rFonts w:eastAsia="Calibri" w:cs="Calibri"/>
          <w:b/>
          <w:sz w:val="24"/>
          <w:szCs w:val="24"/>
        </w:rPr>
        <w:t>9</w:t>
      </w:r>
      <w:r w:rsidRPr="00AC426A">
        <w:rPr>
          <w:rFonts w:eastAsia="Calibri" w:cs="Calibri"/>
          <w:b/>
          <w:spacing w:val="1"/>
          <w:sz w:val="24"/>
          <w:szCs w:val="24"/>
        </w:rPr>
        <w:t xml:space="preserve"> </w:t>
      </w:r>
      <w:r w:rsidRPr="00AC426A">
        <w:rPr>
          <w:rFonts w:eastAsia="Calibri" w:cs="Calibri"/>
          <w:b/>
          <w:spacing w:val="-1"/>
          <w:sz w:val="24"/>
          <w:szCs w:val="24"/>
        </w:rPr>
        <w:t>a</w:t>
      </w:r>
      <w:r w:rsidRPr="00AC426A">
        <w:rPr>
          <w:rFonts w:eastAsia="Calibri" w:cs="Calibri"/>
          <w:b/>
          <w:sz w:val="24"/>
          <w:szCs w:val="24"/>
        </w:rPr>
        <w:t>nd</w:t>
      </w:r>
      <w:r w:rsidRPr="00AC426A">
        <w:rPr>
          <w:rFonts w:eastAsia="Calibri" w:cs="Calibri"/>
          <w:b/>
          <w:spacing w:val="-1"/>
          <w:sz w:val="24"/>
          <w:szCs w:val="24"/>
        </w:rPr>
        <w:t xml:space="preserve"> </w:t>
      </w:r>
      <w:r w:rsidRPr="00AC426A">
        <w:rPr>
          <w:rFonts w:eastAsia="Calibri" w:cs="Calibri"/>
          <w:b/>
          <w:spacing w:val="1"/>
          <w:sz w:val="24"/>
          <w:szCs w:val="24"/>
        </w:rPr>
        <w:t>r</w:t>
      </w:r>
      <w:r w:rsidRPr="00AC426A">
        <w:rPr>
          <w:rFonts w:eastAsia="Calibri" w:cs="Calibri"/>
          <w:b/>
          <w:spacing w:val="-1"/>
          <w:sz w:val="24"/>
          <w:szCs w:val="24"/>
        </w:rPr>
        <w:t>e</w:t>
      </w:r>
      <w:r w:rsidRPr="00AC426A">
        <w:rPr>
          <w:rFonts w:eastAsia="Calibri" w:cs="Calibri"/>
          <w:b/>
          <w:sz w:val="24"/>
          <w:szCs w:val="24"/>
        </w:rPr>
        <w:t>p</w:t>
      </w:r>
      <w:r w:rsidRPr="00AC426A">
        <w:rPr>
          <w:rFonts w:eastAsia="Calibri" w:cs="Calibri"/>
          <w:b/>
          <w:spacing w:val="-1"/>
          <w:sz w:val="24"/>
          <w:szCs w:val="24"/>
        </w:rPr>
        <w:t>ea</w:t>
      </w:r>
      <w:r w:rsidRPr="00AC426A">
        <w:rPr>
          <w:rFonts w:eastAsia="Calibri" w:cs="Calibri"/>
          <w:b/>
          <w:spacing w:val="1"/>
          <w:sz w:val="24"/>
          <w:szCs w:val="24"/>
        </w:rPr>
        <w:t>l</w:t>
      </w:r>
      <w:r w:rsidRPr="00AC426A">
        <w:rPr>
          <w:rFonts w:eastAsia="Calibri" w:cs="Calibri"/>
          <w:b/>
          <w:spacing w:val="-1"/>
          <w:sz w:val="24"/>
          <w:szCs w:val="24"/>
        </w:rPr>
        <w:t>i</w:t>
      </w:r>
      <w:r w:rsidRPr="00AC426A">
        <w:rPr>
          <w:rFonts w:eastAsia="Calibri" w:cs="Calibri"/>
          <w:b/>
          <w:spacing w:val="-2"/>
          <w:sz w:val="24"/>
          <w:szCs w:val="24"/>
        </w:rPr>
        <w:t>n</w:t>
      </w:r>
      <w:r w:rsidRPr="00AC426A">
        <w:rPr>
          <w:rFonts w:eastAsia="Calibri" w:cs="Calibri"/>
          <w:b/>
          <w:sz w:val="24"/>
          <w:szCs w:val="24"/>
        </w:rPr>
        <w:t xml:space="preserve">g </w:t>
      </w:r>
      <w:r w:rsidRPr="00AC426A">
        <w:rPr>
          <w:rFonts w:eastAsia="Calibri" w:cs="Calibri"/>
          <w:b/>
          <w:spacing w:val="-1"/>
          <w:sz w:val="24"/>
          <w:szCs w:val="24"/>
        </w:rPr>
        <w:t>Reg</w:t>
      </w:r>
      <w:r w:rsidRPr="00AC426A">
        <w:rPr>
          <w:rFonts w:eastAsia="Calibri" w:cs="Calibri"/>
          <w:b/>
          <w:sz w:val="24"/>
          <w:szCs w:val="24"/>
        </w:rPr>
        <w:t>u</w:t>
      </w:r>
      <w:r w:rsidRPr="00AC426A">
        <w:rPr>
          <w:rFonts w:eastAsia="Calibri" w:cs="Calibri"/>
          <w:b/>
          <w:spacing w:val="1"/>
          <w:sz w:val="24"/>
          <w:szCs w:val="24"/>
        </w:rPr>
        <w:t>l</w:t>
      </w:r>
      <w:r w:rsidRPr="00AC426A">
        <w:rPr>
          <w:rFonts w:eastAsia="Calibri" w:cs="Calibri"/>
          <w:b/>
          <w:spacing w:val="-1"/>
          <w:sz w:val="24"/>
          <w:szCs w:val="24"/>
        </w:rPr>
        <w:t>a</w:t>
      </w:r>
      <w:r w:rsidRPr="00AC426A">
        <w:rPr>
          <w:rFonts w:eastAsia="Calibri" w:cs="Calibri"/>
          <w:b/>
          <w:sz w:val="24"/>
          <w:szCs w:val="24"/>
        </w:rPr>
        <w:t>t</w:t>
      </w:r>
      <w:r w:rsidRPr="00AC426A">
        <w:rPr>
          <w:rFonts w:eastAsia="Calibri" w:cs="Calibri"/>
          <w:b/>
          <w:spacing w:val="1"/>
          <w:sz w:val="24"/>
          <w:szCs w:val="24"/>
        </w:rPr>
        <w:t>i</w:t>
      </w:r>
      <w:r w:rsidRPr="00AC426A">
        <w:rPr>
          <w:rFonts w:eastAsia="Calibri" w:cs="Calibri"/>
          <w:b/>
          <w:sz w:val="24"/>
          <w:szCs w:val="24"/>
        </w:rPr>
        <w:t>on</w:t>
      </w:r>
      <w:r w:rsidRPr="00AC426A">
        <w:rPr>
          <w:rFonts w:eastAsia="Calibri" w:cs="Calibri"/>
          <w:b/>
          <w:spacing w:val="2"/>
          <w:sz w:val="24"/>
          <w:szCs w:val="24"/>
        </w:rPr>
        <w:t xml:space="preserve"> </w:t>
      </w:r>
      <w:r w:rsidRPr="00AC426A">
        <w:rPr>
          <w:rFonts w:eastAsia="Calibri" w:cs="Calibri"/>
          <w:b/>
          <w:sz w:val="24"/>
          <w:szCs w:val="24"/>
        </w:rPr>
        <w:t>(EC)</w:t>
      </w:r>
      <w:r w:rsidRPr="00AC426A">
        <w:rPr>
          <w:rFonts w:eastAsia="Calibri" w:cs="Calibri"/>
          <w:b/>
          <w:spacing w:val="-2"/>
          <w:sz w:val="24"/>
          <w:szCs w:val="24"/>
        </w:rPr>
        <w:t xml:space="preserve"> </w:t>
      </w:r>
      <w:r w:rsidRPr="00AC426A">
        <w:rPr>
          <w:rFonts w:eastAsia="Calibri" w:cs="Calibri"/>
          <w:b/>
          <w:sz w:val="24"/>
          <w:szCs w:val="24"/>
        </w:rPr>
        <w:t>No</w:t>
      </w:r>
      <w:r w:rsidRPr="00AC426A">
        <w:rPr>
          <w:rFonts w:eastAsia="Calibri" w:cs="Calibri"/>
          <w:b/>
          <w:spacing w:val="1"/>
          <w:sz w:val="24"/>
          <w:szCs w:val="24"/>
        </w:rPr>
        <w:t xml:space="preserve"> </w:t>
      </w:r>
      <w:r w:rsidRPr="00AC426A">
        <w:rPr>
          <w:rFonts w:eastAsia="Calibri" w:cs="Calibri"/>
          <w:b/>
          <w:spacing w:val="-2"/>
          <w:sz w:val="24"/>
          <w:szCs w:val="24"/>
        </w:rPr>
        <w:t>2</w:t>
      </w:r>
      <w:r w:rsidRPr="00AC426A">
        <w:rPr>
          <w:rFonts w:eastAsia="Calibri" w:cs="Calibri"/>
          <w:b/>
          <w:sz w:val="24"/>
          <w:szCs w:val="24"/>
        </w:rPr>
        <w:t>0</w:t>
      </w:r>
      <w:r w:rsidRPr="00AC426A">
        <w:rPr>
          <w:rFonts w:eastAsia="Calibri" w:cs="Calibri"/>
          <w:b/>
          <w:spacing w:val="-1"/>
          <w:sz w:val="24"/>
          <w:szCs w:val="24"/>
        </w:rPr>
        <w:t>0</w:t>
      </w:r>
      <w:r w:rsidRPr="00AC426A">
        <w:rPr>
          <w:rFonts w:eastAsia="Calibri" w:cs="Calibri"/>
          <w:b/>
          <w:sz w:val="24"/>
          <w:szCs w:val="24"/>
        </w:rPr>
        <w:t>3/</w:t>
      </w:r>
      <w:r w:rsidRPr="00AC426A">
        <w:rPr>
          <w:rFonts w:eastAsia="Calibri" w:cs="Calibri"/>
          <w:b/>
          <w:spacing w:val="1"/>
          <w:sz w:val="24"/>
          <w:szCs w:val="24"/>
        </w:rPr>
        <w:t>2</w:t>
      </w:r>
      <w:r w:rsidRPr="00AC426A">
        <w:rPr>
          <w:rFonts w:eastAsia="Calibri" w:cs="Calibri"/>
          <w:b/>
          <w:sz w:val="24"/>
          <w:szCs w:val="24"/>
        </w:rPr>
        <w:t>0</w:t>
      </w:r>
      <w:r w:rsidRPr="00AC426A">
        <w:rPr>
          <w:rFonts w:eastAsia="Calibri" w:cs="Calibri"/>
          <w:b/>
          <w:spacing w:val="-1"/>
          <w:sz w:val="24"/>
          <w:szCs w:val="24"/>
        </w:rPr>
        <w:t>0</w:t>
      </w:r>
      <w:r w:rsidRPr="00AC426A">
        <w:rPr>
          <w:rFonts w:eastAsia="Calibri" w:cs="Calibri"/>
          <w:b/>
          <w:sz w:val="24"/>
          <w:szCs w:val="24"/>
        </w:rPr>
        <w:t>3</w:t>
      </w:r>
    </w:p>
    <w:p w14:paraId="46622AD2" w14:textId="6C913B6F" w:rsidR="003558F7" w:rsidRDefault="002326B9" w:rsidP="003558F7">
      <w:pPr>
        <w:spacing w:after="600" w:line="360" w:lineRule="auto"/>
        <w:ind w:left="2024" w:right="1418"/>
        <w:jc w:val="center"/>
        <w:rPr>
          <w:rFonts w:eastAsia="Calibri" w:cs="Calibri"/>
          <w:b/>
          <w:spacing w:val="-1"/>
          <w:sz w:val="28"/>
          <w:szCs w:val="28"/>
        </w:rPr>
      </w:pPr>
      <w:r w:rsidRPr="00AC426A">
        <w:rPr>
          <w:rFonts w:eastAsia="Calibri" w:cs="Calibri"/>
          <w:b/>
          <w:sz w:val="28"/>
          <w:szCs w:val="28"/>
        </w:rPr>
        <w:t>CONFORMI</w:t>
      </w:r>
      <w:r w:rsidRPr="00AC426A">
        <w:rPr>
          <w:rFonts w:eastAsia="Calibri" w:cs="Calibri"/>
          <w:b/>
          <w:spacing w:val="-3"/>
          <w:sz w:val="28"/>
          <w:szCs w:val="28"/>
        </w:rPr>
        <w:t>T</w:t>
      </w:r>
      <w:r w:rsidRPr="00AC426A">
        <w:rPr>
          <w:rFonts w:eastAsia="Calibri" w:cs="Calibri"/>
          <w:b/>
          <w:sz w:val="28"/>
          <w:szCs w:val="28"/>
        </w:rPr>
        <w:t>Y ASSESSMENT</w:t>
      </w:r>
      <w:r w:rsidRPr="00AC426A">
        <w:rPr>
          <w:rFonts w:eastAsia="Calibri" w:cs="Calibri"/>
          <w:b/>
          <w:spacing w:val="-1"/>
          <w:sz w:val="28"/>
          <w:szCs w:val="28"/>
        </w:rPr>
        <w:t xml:space="preserve"> </w:t>
      </w:r>
      <w:r w:rsidRPr="00AC426A">
        <w:rPr>
          <w:rFonts w:eastAsia="Calibri" w:cs="Calibri"/>
          <w:b/>
          <w:sz w:val="28"/>
          <w:szCs w:val="28"/>
        </w:rPr>
        <w:t>PROCEDURES MOD</w:t>
      </w:r>
      <w:r w:rsidRPr="00AC426A">
        <w:rPr>
          <w:rFonts w:eastAsia="Calibri" w:cs="Calibri"/>
          <w:b/>
          <w:spacing w:val="-1"/>
          <w:sz w:val="28"/>
          <w:szCs w:val="28"/>
        </w:rPr>
        <w:t>U</w:t>
      </w:r>
      <w:r w:rsidRPr="00AC426A">
        <w:rPr>
          <w:rFonts w:eastAsia="Calibri" w:cs="Calibri"/>
          <w:b/>
          <w:spacing w:val="1"/>
          <w:sz w:val="28"/>
          <w:szCs w:val="28"/>
        </w:rPr>
        <w:t>L</w:t>
      </w:r>
      <w:r w:rsidRPr="00AC426A">
        <w:rPr>
          <w:rFonts w:eastAsia="Calibri" w:cs="Calibri"/>
          <w:b/>
          <w:sz w:val="28"/>
          <w:szCs w:val="28"/>
        </w:rPr>
        <w:t>E</w:t>
      </w:r>
      <w:r w:rsidRPr="00AC426A">
        <w:rPr>
          <w:rFonts w:eastAsia="Calibri" w:cs="Calibri"/>
          <w:b/>
          <w:spacing w:val="-1"/>
          <w:sz w:val="28"/>
          <w:szCs w:val="28"/>
        </w:rPr>
        <w:t xml:space="preserve"> </w:t>
      </w:r>
      <w:r w:rsidR="00E759FA">
        <w:rPr>
          <w:rFonts w:eastAsia="Calibri" w:cs="Calibri"/>
          <w:b/>
          <w:sz w:val="28"/>
          <w:szCs w:val="28"/>
        </w:rPr>
        <w:t>D1</w:t>
      </w:r>
      <w:r w:rsidR="00E759FA" w:rsidRPr="00AC426A">
        <w:rPr>
          <w:rFonts w:eastAsia="Calibri" w:cs="Calibri"/>
          <w:b/>
          <w:sz w:val="28"/>
          <w:szCs w:val="28"/>
        </w:rPr>
        <w:t xml:space="preserve"> </w:t>
      </w:r>
      <w:r w:rsidR="00E759FA" w:rsidRPr="00FA2924">
        <w:rPr>
          <w:rFonts w:eastAsia="Calibri" w:cs="Calibri"/>
          <w:b/>
          <w:sz w:val="28"/>
          <w:szCs w:val="28"/>
        </w:rPr>
        <w:t>–</w:t>
      </w:r>
      <w:r w:rsidR="00E759FA" w:rsidRPr="00FA2924">
        <w:rPr>
          <w:rFonts w:eastAsia="Calibri" w:cs="Calibri"/>
          <w:b/>
          <w:spacing w:val="-2"/>
          <w:sz w:val="28"/>
          <w:szCs w:val="28"/>
        </w:rPr>
        <w:t xml:space="preserve"> </w:t>
      </w:r>
      <w:r w:rsidR="0092370E" w:rsidRPr="00FA2924">
        <w:rPr>
          <w:rFonts w:eastAsia="Calibri" w:cs="Calibri"/>
          <w:b/>
          <w:sz w:val="28"/>
          <w:szCs w:val="28"/>
        </w:rPr>
        <w:t>QUALITY ASSURANCE OF THE PRODUCTION PROCESS</w:t>
      </w:r>
    </w:p>
    <w:p w14:paraId="6C871366" w14:textId="77A66AF5" w:rsidR="002326B9" w:rsidRPr="00AC426A" w:rsidRDefault="002326B9" w:rsidP="003558F7">
      <w:pPr>
        <w:spacing w:after="600" w:line="360" w:lineRule="auto"/>
        <w:ind w:left="2024" w:right="1418"/>
        <w:jc w:val="center"/>
        <w:rPr>
          <w:rFonts w:eastAsia="Calibri" w:cs="Calibri"/>
          <w:sz w:val="36"/>
          <w:szCs w:val="36"/>
        </w:rPr>
      </w:pPr>
      <w:r w:rsidRPr="00AC426A">
        <w:rPr>
          <w:rFonts w:eastAsia="Calibri" w:cs="Calibri"/>
          <w:b/>
          <w:sz w:val="36"/>
          <w:szCs w:val="36"/>
        </w:rPr>
        <w:t>T</w:t>
      </w:r>
      <w:r w:rsidRPr="00AC426A">
        <w:rPr>
          <w:rFonts w:eastAsia="Calibri" w:cs="Calibri"/>
          <w:b/>
          <w:spacing w:val="-1"/>
          <w:sz w:val="36"/>
          <w:szCs w:val="36"/>
        </w:rPr>
        <w:t>E</w:t>
      </w:r>
      <w:r w:rsidRPr="00AC426A">
        <w:rPr>
          <w:rFonts w:eastAsia="Calibri" w:cs="Calibri"/>
          <w:b/>
          <w:sz w:val="36"/>
          <w:szCs w:val="36"/>
        </w:rPr>
        <w:t>CHNICAL</w:t>
      </w:r>
      <w:r w:rsidRPr="00AC426A">
        <w:rPr>
          <w:rFonts w:eastAsia="Calibri" w:cs="Calibri"/>
          <w:b/>
          <w:spacing w:val="-1"/>
          <w:sz w:val="36"/>
          <w:szCs w:val="36"/>
        </w:rPr>
        <w:t xml:space="preserve"> </w:t>
      </w:r>
      <w:r w:rsidRPr="00AC426A">
        <w:rPr>
          <w:rFonts w:eastAsia="Calibri" w:cs="Calibri"/>
          <w:b/>
          <w:spacing w:val="1"/>
          <w:sz w:val="36"/>
          <w:szCs w:val="36"/>
        </w:rPr>
        <w:t>D</w:t>
      </w:r>
      <w:r w:rsidRPr="00AC426A">
        <w:rPr>
          <w:rFonts w:eastAsia="Calibri" w:cs="Calibri"/>
          <w:b/>
          <w:sz w:val="36"/>
          <w:szCs w:val="36"/>
        </w:rPr>
        <w:t>OCUMENTATI</w:t>
      </w:r>
      <w:r w:rsidRPr="00AC426A">
        <w:rPr>
          <w:rFonts w:eastAsia="Calibri" w:cs="Calibri"/>
          <w:b/>
          <w:spacing w:val="-2"/>
          <w:sz w:val="36"/>
          <w:szCs w:val="36"/>
        </w:rPr>
        <w:t>O</w:t>
      </w:r>
      <w:r w:rsidRPr="00AC426A">
        <w:rPr>
          <w:rFonts w:eastAsia="Calibri" w:cs="Calibri"/>
          <w:b/>
          <w:sz w:val="36"/>
          <w:szCs w:val="36"/>
        </w:rPr>
        <w:t>N</w:t>
      </w:r>
      <w:r w:rsidR="004B5556">
        <w:rPr>
          <w:rFonts w:eastAsia="Calibri" w:cs="Calibri"/>
          <w:b/>
          <w:sz w:val="36"/>
          <w:szCs w:val="36"/>
        </w:rPr>
        <w:t xml:space="preserve"> Guide</w:t>
      </w:r>
    </w:p>
    <w:p w14:paraId="18F3B156" w14:textId="4B99FC01" w:rsidR="00F158A6" w:rsidRPr="00AC426A" w:rsidRDefault="00F158A6">
      <w:pPr>
        <w:spacing w:after="160" w:line="259" w:lineRule="auto"/>
        <w:rPr>
          <w:rFonts w:eastAsia="Calibri" w:cs="Calibri"/>
          <w:b/>
          <w:sz w:val="40"/>
          <w:szCs w:val="40"/>
        </w:rPr>
      </w:pPr>
      <w:r w:rsidRPr="00AC426A">
        <w:rPr>
          <w:rFonts w:eastAsia="Calibri" w:cs="Calibri"/>
          <w:b/>
          <w:sz w:val="40"/>
          <w:szCs w:val="40"/>
        </w:rPr>
        <w:br w:type="page"/>
      </w:r>
    </w:p>
    <w:sdt>
      <w:sdtPr>
        <w:rPr>
          <w:rFonts w:asciiTheme="minorHAnsi" w:eastAsia="Times New Roman" w:hAnsiTheme="minorHAnsi" w:cs="Times New Roman"/>
          <w:color w:val="auto"/>
          <w:sz w:val="22"/>
          <w:szCs w:val="20"/>
          <w:lang w:eastAsia="en-US"/>
        </w:rPr>
        <w:id w:val="796035540"/>
        <w:docPartObj>
          <w:docPartGallery w:val="Table of Contents"/>
          <w:docPartUnique/>
        </w:docPartObj>
      </w:sdtPr>
      <w:sdtEndPr>
        <w:rPr>
          <w:b/>
          <w:bCs/>
        </w:rPr>
      </w:sdtEndPr>
      <w:sdtContent>
        <w:p w14:paraId="11286744" w14:textId="09506E62" w:rsidR="00AC426A" w:rsidRPr="00AC426A" w:rsidRDefault="00AC426A" w:rsidP="00AC426A">
          <w:pPr>
            <w:pStyle w:val="Tartalomjegyzkcmsora"/>
            <w:spacing w:before="720"/>
            <w:rPr>
              <w:color w:val="auto"/>
            </w:rPr>
          </w:pPr>
          <w:r w:rsidRPr="00AC426A">
            <w:rPr>
              <w:color w:val="auto"/>
            </w:rPr>
            <w:t>Contents</w:t>
          </w:r>
        </w:p>
        <w:p w14:paraId="73BE348C" w14:textId="69086004" w:rsidR="00FA2924" w:rsidRDefault="00AC426A">
          <w:pPr>
            <w:pStyle w:val="TJ1"/>
            <w:tabs>
              <w:tab w:val="right" w:leader="dot" w:pos="9062"/>
            </w:tabs>
            <w:rPr>
              <w:rFonts w:eastAsiaTheme="minorEastAsia" w:cstheme="minorBidi"/>
              <w:noProof/>
              <w:kern w:val="2"/>
              <w:sz w:val="24"/>
              <w:szCs w:val="24"/>
              <w:lang w:val="hu-HU" w:eastAsia="hu-HU"/>
              <w14:ligatures w14:val="standardContextual"/>
            </w:rPr>
          </w:pPr>
          <w:r w:rsidRPr="00AC426A">
            <w:fldChar w:fldCharType="begin"/>
          </w:r>
          <w:r w:rsidRPr="00AC426A">
            <w:instrText xml:space="preserve"> TOC \o "1-3" \h \z \u </w:instrText>
          </w:r>
          <w:r w:rsidRPr="00AC426A">
            <w:fldChar w:fldCharType="separate"/>
          </w:r>
          <w:hyperlink w:anchor="_Toc194918367" w:history="1">
            <w:r w:rsidR="00FA2924" w:rsidRPr="0047604E">
              <w:rPr>
                <w:rStyle w:val="Hiperhivatkozs"/>
                <w:noProof/>
              </w:rPr>
              <w:t>Introduction</w:t>
            </w:r>
            <w:r w:rsidR="00FA2924">
              <w:rPr>
                <w:noProof/>
                <w:webHidden/>
              </w:rPr>
              <w:tab/>
            </w:r>
            <w:r w:rsidR="00FA2924">
              <w:rPr>
                <w:noProof/>
                <w:webHidden/>
              </w:rPr>
              <w:fldChar w:fldCharType="begin"/>
            </w:r>
            <w:r w:rsidR="00FA2924">
              <w:rPr>
                <w:noProof/>
                <w:webHidden/>
              </w:rPr>
              <w:instrText xml:space="preserve"> PAGEREF _Toc194918367 \h </w:instrText>
            </w:r>
            <w:r w:rsidR="00FA2924">
              <w:rPr>
                <w:noProof/>
                <w:webHidden/>
              </w:rPr>
            </w:r>
            <w:r w:rsidR="00FA2924">
              <w:rPr>
                <w:noProof/>
                <w:webHidden/>
              </w:rPr>
              <w:fldChar w:fldCharType="separate"/>
            </w:r>
            <w:r w:rsidR="00FA2924">
              <w:rPr>
                <w:noProof/>
                <w:webHidden/>
              </w:rPr>
              <w:t>3</w:t>
            </w:r>
            <w:r w:rsidR="00FA2924">
              <w:rPr>
                <w:noProof/>
                <w:webHidden/>
              </w:rPr>
              <w:fldChar w:fldCharType="end"/>
            </w:r>
          </w:hyperlink>
        </w:p>
        <w:p w14:paraId="62F2E4C1" w14:textId="36CD872F" w:rsidR="00FA2924" w:rsidRDefault="00FA2924">
          <w:pPr>
            <w:pStyle w:val="TJ1"/>
            <w:tabs>
              <w:tab w:val="right" w:leader="dot" w:pos="9062"/>
            </w:tabs>
            <w:rPr>
              <w:rFonts w:eastAsiaTheme="minorEastAsia" w:cstheme="minorBidi"/>
              <w:noProof/>
              <w:kern w:val="2"/>
              <w:sz w:val="24"/>
              <w:szCs w:val="24"/>
              <w:lang w:val="hu-HU" w:eastAsia="hu-HU"/>
              <w14:ligatures w14:val="standardContextual"/>
            </w:rPr>
          </w:pPr>
          <w:hyperlink w:anchor="_Toc194918368" w:history="1">
            <w:r w:rsidRPr="0047604E">
              <w:rPr>
                <w:rStyle w:val="Hiperhivatkozs"/>
                <w:noProof/>
              </w:rPr>
              <w:t>Technical Documentation</w:t>
            </w:r>
            <w:r>
              <w:rPr>
                <w:noProof/>
                <w:webHidden/>
              </w:rPr>
              <w:tab/>
            </w:r>
            <w:r>
              <w:rPr>
                <w:noProof/>
                <w:webHidden/>
              </w:rPr>
              <w:fldChar w:fldCharType="begin"/>
            </w:r>
            <w:r>
              <w:rPr>
                <w:noProof/>
                <w:webHidden/>
              </w:rPr>
              <w:instrText xml:space="preserve"> PAGEREF _Toc194918368 \h </w:instrText>
            </w:r>
            <w:r>
              <w:rPr>
                <w:noProof/>
                <w:webHidden/>
              </w:rPr>
            </w:r>
            <w:r>
              <w:rPr>
                <w:noProof/>
                <w:webHidden/>
              </w:rPr>
              <w:fldChar w:fldCharType="separate"/>
            </w:r>
            <w:r>
              <w:rPr>
                <w:noProof/>
                <w:webHidden/>
              </w:rPr>
              <w:t>5</w:t>
            </w:r>
            <w:r>
              <w:rPr>
                <w:noProof/>
                <w:webHidden/>
              </w:rPr>
              <w:fldChar w:fldCharType="end"/>
            </w:r>
          </w:hyperlink>
        </w:p>
        <w:p w14:paraId="1B3EB0BC" w14:textId="0386C4DC"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69" w:history="1">
            <w:r w:rsidRPr="0047604E">
              <w:rPr>
                <w:rStyle w:val="Hiperhivatkozs"/>
                <w:noProof/>
              </w:rPr>
              <w:t>(a) General description</w:t>
            </w:r>
            <w:r>
              <w:rPr>
                <w:noProof/>
                <w:webHidden/>
              </w:rPr>
              <w:tab/>
            </w:r>
            <w:r>
              <w:rPr>
                <w:noProof/>
                <w:webHidden/>
              </w:rPr>
              <w:fldChar w:fldCharType="begin"/>
            </w:r>
            <w:r>
              <w:rPr>
                <w:noProof/>
                <w:webHidden/>
              </w:rPr>
              <w:instrText xml:space="preserve"> PAGEREF _Toc194918369 \h </w:instrText>
            </w:r>
            <w:r>
              <w:rPr>
                <w:noProof/>
                <w:webHidden/>
              </w:rPr>
            </w:r>
            <w:r>
              <w:rPr>
                <w:noProof/>
                <w:webHidden/>
              </w:rPr>
              <w:fldChar w:fldCharType="separate"/>
            </w:r>
            <w:r>
              <w:rPr>
                <w:noProof/>
                <w:webHidden/>
              </w:rPr>
              <w:t>5</w:t>
            </w:r>
            <w:r>
              <w:rPr>
                <w:noProof/>
                <w:webHidden/>
              </w:rPr>
              <w:fldChar w:fldCharType="end"/>
            </w:r>
          </w:hyperlink>
        </w:p>
        <w:p w14:paraId="4F0ECFFF" w14:textId="26A5D128"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70" w:history="1">
            <w:r w:rsidRPr="0047604E">
              <w:rPr>
                <w:rStyle w:val="Hiperhivatkozs"/>
                <w:noProof/>
              </w:rPr>
              <w:t>(b) List of component materials</w:t>
            </w:r>
            <w:r>
              <w:rPr>
                <w:noProof/>
                <w:webHidden/>
              </w:rPr>
              <w:tab/>
            </w:r>
            <w:r>
              <w:rPr>
                <w:noProof/>
                <w:webHidden/>
              </w:rPr>
              <w:fldChar w:fldCharType="begin"/>
            </w:r>
            <w:r>
              <w:rPr>
                <w:noProof/>
                <w:webHidden/>
              </w:rPr>
              <w:instrText xml:space="preserve"> PAGEREF _Toc194918370 \h </w:instrText>
            </w:r>
            <w:r>
              <w:rPr>
                <w:noProof/>
                <w:webHidden/>
              </w:rPr>
            </w:r>
            <w:r>
              <w:rPr>
                <w:noProof/>
                <w:webHidden/>
              </w:rPr>
              <w:fldChar w:fldCharType="separate"/>
            </w:r>
            <w:r>
              <w:rPr>
                <w:noProof/>
                <w:webHidden/>
              </w:rPr>
              <w:t>6</w:t>
            </w:r>
            <w:r>
              <w:rPr>
                <w:noProof/>
                <w:webHidden/>
              </w:rPr>
              <w:fldChar w:fldCharType="end"/>
            </w:r>
          </w:hyperlink>
        </w:p>
        <w:p w14:paraId="064E5038" w14:textId="1E97E66B"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71" w:history="1">
            <w:r w:rsidRPr="0047604E">
              <w:rPr>
                <w:rStyle w:val="Hiperhivatkozs"/>
                <w:noProof/>
              </w:rPr>
              <w:t>(c) The EU declarations of conformity for the component EU fertilising products of the fertilising product blend.</w:t>
            </w:r>
            <w:r>
              <w:rPr>
                <w:noProof/>
                <w:webHidden/>
              </w:rPr>
              <w:tab/>
            </w:r>
            <w:r>
              <w:rPr>
                <w:noProof/>
                <w:webHidden/>
              </w:rPr>
              <w:fldChar w:fldCharType="begin"/>
            </w:r>
            <w:r>
              <w:rPr>
                <w:noProof/>
                <w:webHidden/>
              </w:rPr>
              <w:instrText xml:space="preserve"> PAGEREF _Toc194918371 \h </w:instrText>
            </w:r>
            <w:r>
              <w:rPr>
                <w:noProof/>
                <w:webHidden/>
              </w:rPr>
            </w:r>
            <w:r>
              <w:rPr>
                <w:noProof/>
                <w:webHidden/>
              </w:rPr>
              <w:fldChar w:fldCharType="separate"/>
            </w:r>
            <w:r>
              <w:rPr>
                <w:noProof/>
                <w:webHidden/>
              </w:rPr>
              <w:t>7</w:t>
            </w:r>
            <w:r>
              <w:rPr>
                <w:noProof/>
                <w:webHidden/>
              </w:rPr>
              <w:fldChar w:fldCharType="end"/>
            </w:r>
          </w:hyperlink>
        </w:p>
        <w:p w14:paraId="05681B03" w14:textId="3F21A78E"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72" w:history="1">
            <w:r w:rsidRPr="0047604E">
              <w:rPr>
                <w:rStyle w:val="Hiperhivatkozs"/>
                <w:noProof/>
              </w:rPr>
              <w:t>(d) Manufacturing process</w:t>
            </w:r>
            <w:r>
              <w:rPr>
                <w:noProof/>
                <w:webHidden/>
              </w:rPr>
              <w:tab/>
            </w:r>
            <w:r>
              <w:rPr>
                <w:noProof/>
                <w:webHidden/>
              </w:rPr>
              <w:fldChar w:fldCharType="begin"/>
            </w:r>
            <w:r>
              <w:rPr>
                <w:noProof/>
                <w:webHidden/>
              </w:rPr>
              <w:instrText xml:space="preserve"> PAGEREF _Toc194918372 \h </w:instrText>
            </w:r>
            <w:r>
              <w:rPr>
                <w:noProof/>
                <w:webHidden/>
              </w:rPr>
            </w:r>
            <w:r>
              <w:rPr>
                <w:noProof/>
                <w:webHidden/>
              </w:rPr>
              <w:fldChar w:fldCharType="separate"/>
            </w:r>
            <w:r>
              <w:rPr>
                <w:noProof/>
                <w:webHidden/>
              </w:rPr>
              <w:t>8</w:t>
            </w:r>
            <w:r>
              <w:rPr>
                <w:noProof/>
                <w:webHidden/>
              </w:rPr>
              <w:fldChar w:fldCharType="end"/>
            </w:r>
          </w:hyperlink>
        </w:p>
        <w:p w14:paraId="05E0EB14" w14:textId="4A70BF62"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73" w:history="1">
            <w:r w:rsidRPr="0047604E">
              <w:rPr>
                <w:rStyle w:val="Hiperhivatkozs"/>
                <w:noProof/>
              </w:rPr>
              <w:t>(e) Label or leaflet specimen(s)</w:t>
            </w:r>
            <w:r>
              <w:rPr>
                <w:noProof/>
                <w:webHidden/>
              </w:rPr>
              <w:tab/>
            </w:r>
            <w:r>
              <w:rPr>
                <w:noProof/>
                <w:webHidden/>
              </w:rPr>
              <w:fldChar w:fldCharType="begin"/>
            </w:r>
            <w:r>
              <w:rPr>
                <w:noProof/>
                <w:webHidden/>
              </w:rPr>
              <w:instrText xml:space="preserve"> PAGEREF _Toc194918373 \h </w:instrText>
            </w:r>
            <w:r>
              <w:rPr>
                <w:noProof/>
                <w:webHidden/>
              </w:rPr>
            </w:r>
            <w:r>
              <w:rPr>
                <w:noProof/>
                <w:webHidden/>
              </w:rPr>
              <w:fldChar w:fldCharType="separate"/>
            </w:r>
            <w:r>
              <w:rPr>
                <w:noProof/>
                <w:webHidden/>
              </w:rPr>
              <w:t>9</w:t>
            </w:r>
            <w:r>
              <w:rPr>
                <w:noProof/>
                <w:webHidden/>
              </w:rPr>
              <w:fldChar w:fldCharType="end"/>
            </w:r>
          </w:hyperlink>
        </w:p>
        <w:p w14:paraId="20A71F75" w14:textId="21EBF13C"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74" w:history="1">
            <w:r w:rsidRPr="0047604E">
              <w:rPr>
                <w:rStyle w:val="Hiperhivatkozs"/>
                <w:noProof/>
              </w:rPr>
              <w:t>(f) A list of the harmonised standards</w:t>
            </w:r>
            <w:r>
              <w:rPr>
                <w:noProof/>
                <w:webHidden/>
              </w:rPr>
              <w:tab/>
            </w:r>
            <w:r>
              <w:rPr>
                <w:noProof/>
                <w:webHidden/>
              </w:rPr>
              <w:fldChar w:fldCharType="begin"/>
            </w:r>
            <w:r>
              <w:rPr>
                <w:noProof/>
                <w:webHidden/>
              </w:rPr>
              <w:instrText xml:space="preserve"> PAGEREF _Toc194918374 \h </w:instrText>
            </w:r>
            <w:r>
              <w:rPr>
                <w:noProof/>
                <w:webHidden/>
              </w:rPr>
            </w:r>
            <w:r>
              <w:rPr>
                <w:noProof/>
                <w:webHidden/>
              </w:rPr>
              <w:fldChar w:fldCharType="separate"/>
            </w:r>
            <w:r>
              <w:rPr>
                <w:noProof/>
                <w:webHidden/>
              </w:rPr>
              <w:t>10</w:t>
            </w:r>
            <w:r>
              <w:rPr>
                <w:noProof/>
                <w:webHidden/>
              </w:rPr>
              <w:fldChar w:fldCharType="end"/>
            </w:r>
          </w:hyperlink>
        </w:p>
        <w:p w14:paraId="466E8007" w14:textId="0E3B3003"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75" w:history="1">
            <w:r w:rsidRPr="0047604E">
              <w:rPr>
                <w:rStyle w:val="Hiperhivatkozs"/>
                <w:noProof/>
              </w:rPr>
              <w:t>(g) Results of calculations, examinations carried out, etc</w:t>
            </w:r>
            <w:r>
              <w:rPr>
                <w:noProof/>
                <w:webHidden/>
              </w:rPr>
              <w:tab/>
            </w:r>
            <w:r>
              <w:rPr>
                <w:noProof/>
                <w:webHidden/>
              </w:rPr>
              <w:fldChar w:fldCharType="begin"/>
            </w:r>
            <w:r>
              <w:rPr>
                <w:noProof/>
                <w:webHidden/>
              </w:rPr>
              <w:instrText xml:space="preserve"> PAGEREF _Toc194918375 \h </w:instrText>
            </w:r>
            <w:r>
              <w:rPr>
                <w:noProof/>
                <w:webHidden/>
              </w:rPr>
            </w:r>
            <w:r>
              <w:rPr>
                <w:noProof/>
                <w:webHidden/>
              </w:rPr>
              <w:fldChar w:fldCharType="separate"/>
            </w:r>
            <w:r>
              <w:rPr>
                <w:noProof/>
                <w:webHidden/>
              </w:rPr>
              <w:t>11</w:t>
            </w:r>
            <w:r>
              <w:rPr>
                <w:noProof/>
                <w:webHidden/>
              </w:rPr>
              <w:fldChar w:fldCharType="end"/>
            </w:r>
          </w:hyperlink>
        </w:p>
        <w:p w14:paraId="1832730C" w14:textId="6866E576"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76" w:history="1">
            <w:r w:rsidRPr="0047604E">
              <w:rPr>
                <w:rStyle w:val="Hiperhivatkozs"/>
                <w:noProof/>
              </w:rPr>
              <w:t>(h) Test reports</w:t>
            </w:r>
            <w:r>
              <w:rPr>
                <w:noProof/>
                <w:webHidden/>
              </w:rPr>
              <w:tab/>
            </w:r>
            <w:r>
              <w:rPr>
                <w:noProof/>
                <w:webHidden/>
              </w:rPr>
              <w:fldChar w:fldCharType="begin"/>
            </w:r>
            <w:r>
              <w:rPr>
                <w:noProof/>
                <w:webHidden/>
              </w:rPr>
              <w:instrText xml:space="preserve"> PAGEREF _Toc194918376 \h </w:instrText>
            </w:r>
            <w:r>
              <w:rPr>
                <w:noProof/>
                <w:webHidden/>
              </w:rPr>
            </w:r>
            <w:r>
              <w:rPr>
                <w:noProof/>
                <w:webHidden/>
              </w:rPr>
              <w:fldChar w:fldCharType="separate"/>
            </w:r>
            <w:r>
              <w:rPr>
                <w:noProof/>
                <w:webHidden/>
              </w:rPr>
              <w:t>12</w:t>
            </w:r>
            <w:r>
              <w:rPr>
                <w:noProof/>
                <w:webHidden/>
              </w:rPr>
              <w:fldChar w:fldCharType="end"/>
            </w:r>
          </w:hyperlink>
        </w:p>
        <w:p w14:paraId="6274596A" w14:textId="3DE67A9E"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77" w:history="1">
            <w:r w:rsidRPr="0047604E">
              <w:rPr>
                <w:rStyle w:val="Hiperhivatkozs"/>
                <w:noProof/>
              </w:rPr>
              <w:t>(i) Animal by-product.</w:t>
            </w:r>
            <w:r>
              <w:rPr>
                <w:noProof/>
                <w:webHidden/>
              </w:rPr>
              <w:tab/>
            </w:r>
            <w:r>
              <w:rPr>
                <w:noProof/>
                <w:webHidden/>
              </w:rPr>
              <w:fldChar w:fldCharType="begin"/>
            </w:r>
            <w:r>
              <w:rPr>
                <w:noProof/>
                <w:webHidden/>
              </w:rPr>
              <w:instrText xml:space="preserve"> PAGEREF _Toc194918377 \h </w:instrText>
            </w:r>
            <w:r>
              <w:rPr>
                <w:noProof/>
                <w:webHidden/>
              </w:rPr>
            </w:r>
            <w:r>
              <w:rPr>
                <w:noProof/>
                <w:webHidden/>
              </w:rPr>
              <w:fldChar w:fldCharType="separate"/>
            </w:r>
            <w:r>
              <w:rPr>
                <w:noProof/>
                <w:webHidden/>
              </w:rPr>
              <w:t>14</w:t>
            </w:r>
            <w:r>
              <w:rPr>
                <w:noProof/>
                <w:webHidden/>
              </w:rPr>
              <w:fldChar w:fldCharType="end"/>
            </w:r>
          </w:hyperlink>
        </w:p>
        <w:p w14:paraId="24973158" w14:textId="0D43B5DB"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78" w:history="1">
            <w:r w:rsidRPr="0047604E">
              <w:rPr>
                <w:rStyle w:val="Hiperhivatkozs"/>
                <w:noProof/>
              </w:rPr>
              <w:t>(j) By-products</w:t>
            </w:r>
            <w:r>
              <w:rPr>
                <w:noProof/>
                <w:webHidden/>
              </w:rPr>
              <w:tab/>
            </w:r>
            <w:r>
              <w:rPr>
                <w:noProof/>
                <w:webHidden/>
              </w:rPr>
              <w:fldChar w:fldCharType="begin"/>
            </w:r>
            <w:r>
              <w:rPr>
                <w:noProof/>
                <w:webHidden/>
              </w:rPr>
              <w:instrText xml:space="preserve"> PAGEREF _Toc194918378 \h </w:instrText>
            </w:r>
            <w:r>
              <w:rPr>
                <w:noProof/>
                <w:webHidden/>
              </w:rPr>
            </w:r>
            <w:r>
              <w:rPr>
                <w:noProof/>
                <w:webHidden/>
              </w:rPr>
              <w:fldChar w:fldCharType="separate"/>
            </w:r>
            <w:r>
              <w:rPr>
                <w:noProof/>
                <w:webHidden/>
              </w:rPr>
              <w:t>15</w:t>
            </w:r>
            <w:r>
              <w:rPr>
                <w:noProof/>
                <w:webHidden/>
              </w:rPr>
              <w:fldChar w:fldCharType="end"/>
            </w:r>
          </w:hyperlink>
        </w:p>
        <w:p w14:paraId="574CBDC8" w14:textId="57B1154A"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79" w:history="1">
            <w:r w:rsidRPr="0047604E">
              <w:rPr>
                <w:rStyle w:val="Hiperhivatkozs"/>
                <w:noProof/>
              </w:rPr>
              <w:t>(k) Total chromium content</w:t>
            </w:r>
            <w:r>
              <w:rPr>
                <w:noProof/>
                <w:webHidden/>
              </w:rPr>
              <w:tab/>
            </w:r>
            <w:r>
              <w:rPr>
                <w:noProof/>
                <w:webHidden/>
              </w:rPr>
              <w:fldChar w:fldCharType="begin"/>
            </w:r>
            <w:r>
              <w:rPr>
                <w:noProof/>
                <w:webHidden/>
              </w:rPr>
              <w:instrText xml:space="preserve"> PAGEREF _Toc194918379 \h </w:instrText>
            </w:r>
            <w:r>
              <w:rPr>
                <w:noProof/>
                <w:webHidden/>
              </w:rPr>
            </w:r>
            <w:r>
              <w:rPr>
                <w:noProof/>
                <w:webHidden/>
              </w:rPr>
              <w:fldChar w:fldCharType="separate"/>
            </w:r>
            <w:r>
              <w:rPr>
                <w:noProof/>
                <w:webHidden/>
              </w:rPr>
              <w:t>16</w:t>
            </w:r>
            <w:r>
              <w:rPr>
                <w:noProof/>
                <w:webHidden/>
              </w:rPr>
              <w:fldChar w:fldCharType="end"/>
            </w:r>
          </w:hyperlink>
        </w:p>
        <w:p w14:paraId="36198011" w14:textId="001526D1" w:rsidR="00FA2924" w:rsidRDefault="00FA2924">
          <w:pPr>
            <w:pStyle w:val="TJ3"/>
            <w:tabs>
              <w:tab w:val="right" w:leader="dot" w:pos="9062"/>
            </w:tabs>
            <w:rPr>
              <w:rFonts w:eastAsiaTheme="minorEastAsia" w:cstheme="minorBidi"/>
              <w:noProof/>
              <w:kern w:val="2"/>
              <w:sz w:val="24"/>
              <w:szCs w:val="24"/>
              <w:lang w:val="hu-HU" w:eastAsia="hu-HU"/>
              <w14:ligatures w14:val="standardContextual"/>
            </w:rPr>
          </w:pPr>
          <w:hyperlink w:anchor="_Toc194918380" w:history="1">
            <w:r w:rsidRPr="0047604E">
              <w:rPr>
                <w:rStyle w:val="Hiperhivatkozs"/>
                <w:noProof/>
              </w:rPr>
              <w:t>EU declaration of conformity</w:t>
            </w:r>
            <w:r>
              <w:rPr>
                <w:noProof/>
                <w:webHidden/>
              </w:rPr>
              <w:tab/>
            </w:r>
            <w:r>
              <w:rPr>
                <w:noProof/>
                <w:webHidden/>
              </w:rPr>
              <w:fldChar w:fldCharType="begin"/>
            </w:r>
            <w:r>
              <w:rPr>
                <w:noProof/>
                <w:webHidden/>
              </w:rPr>
              <w:instrText xml:space="preserve"> PAGEREF _Toc194918380 \h </w:instrText>
            </w:r>
            <w:r>
              <w:rPr>
                <w:noProof/>
                <w:webHidden/>
              </w:rPr>
            </w:r>
            <w:r>
              <w:rPr>
                <w:noProof/>
                <w:webHidden/>
              </w:rPr>
              <w:fldChar w:fldCharType="separate"/>
            </w:r>
            <w:r>
              <w:rPr>
                <w:noProof/>
                <w:webHidden/>
              </w:rPr>
              <w:t>17</w:t>
            </w:r>
            <w:r>
              <w:rPr>
                <w:noProof/>
                <w:webHidden/>
              </w:rPr>
              <w:fldChar w:fldCharType="end"/>
            </w:r>
          </w:hyperlink>
        </w:p>
        <w:p w14:paraId="1617291A" w14:textId="0B52E0EC" w:rsidR="004776CC" w:rsidRDefault="00AC426A">
          <w:pPr>
            <w:rPr>
              <w:b/>
              <w:bCs/>
            </w:rPr>
          </w:pPr>
          <w:r w:rsidRPr="00AC426A">
            <w:rPr>
              <w:b/>
              <w:bCs/>
            </w:rPr>
            <w:fldChar w:fldCharType="end"/>
          </w:r>
        </w:p>
      </w:sdtContent>
    </w:sdt>
    <w:p w14:paraId="4D5FCC99" w14:textId="6F38F314" w:rsidR="00AC426A" w:rsidRDefault="00AC426A">
      <w:pPr>
        <w:spacing w:after="160" w:line="259" w:lineRule="auto"/>
        <w:rPr>
          <w:b/>
          <w:bCs/>
        </w:rPr>
      </w:pPr>
      <w:r>
        <w:rPr>
          <w:b/>
          <w:bCs/>
        </w:rPr>
        <w:br w:type="page"/>
      </w:r>
    </w:p>
    <w:p w14:paraId="5520F096" w14:textId="77777777" w:rsidR="00AC426A" w:rsidRPr="00ED13F4" w:rsidRDefault="00AC426A" w:rsidP="00AC426A">
      <w:pPr>
        <w:pStyle w:val="Cmsor1"/>
      </w:pPr>
      <w:bookmarkStart w:id="0" w:name="_Toc194918367"/>
      <w:r w:rsidRPr="00ED13F4">
        <w:lastRenderedPageBreak/>
        <w:t>Introduction</w:t>
      </w:r>
      <w:bookmarkEnd w:id="0"/>
    </w:p>
    <w:p w14:paraId="7675F595" w14:textId="614684B4" w:rsidR="008B0B67" w:rsidRPr="00ED13F4" w:rsidRDefault="008B0B67" w:rsidP="00922B0B">
      <w:pPr>
        <w:spacing w:before="360"/>
      </w:pPr>
      <w:r w:rsidRPr="00ED13F4">
        <w:t>An EU fertilising product can be placed on the E</w:t>
      </w:r>
      <w:r w:rsidR="006377D2">
        <w:t>E</w:t>
      </w:r>
      <w:r w:rsidRPr="00ED13F4">
        <w:t>C after a conformity assessment procedure. The process</w:t>
      </w:r>
      <w:r>
        <w:t xml:space="preserve"> </w:t>
      </w:r>
      <w:r w:rsidRPr="00ED13F4">
        <w:t>should be demonstrated whether the requirements of this Regulation relating to an EU fertilising product have</w:t>
      </w:r>
      <w:r>
        <w:t xml:space="preserve"> </w:t>
      </w:r>
      <w:r w:rsidRPr="00ED13F4">
        <w:t xml:space="preserve">been fulfilled. After a successful procedure ‘CE marking’, which indicates that the EU fertilising </w:t>
      </w:r>
      <w:r>
        <w:t xml:space="preserve">product is in </w:t>
      </w:r>
      <w:r w:rsidRPr="00ED13F4">
        <w:t>conformity with the applicable requirements, can be put on the label.</w:t>
      </w:r>
    </w:p>
    <w:p w14:paraId="265B4560" w14:textId="3E1FE436" w:rsidR="008B0B67" w:rsidRDefault="008B0B67" w:rsidP="008B0B67">
      <w:r w:rsidRPr="00ED13F4">
        <w:t xml:space="preserve">The conformity assessment procedure of an EU fertilizer type-examination according to Module </w:t>
      </w:r>
      <w:r>
        <w:t>D</w:t>
      </w:r>
      <w:r w:rsidR="00051881">
        <w:t>1</w:t>
      </w:r>
      <w:r w:rsidRPr="00ED13F4">
        <w:t xml:space="preserve"> consist</w:t>
      </w:r>
      <w:r>
        <w:t>s</w:t>
      </w:r>
      <w:r w:rsidRPr="00ED13F4">
        <w:t xml:space="preserve"> of</w:t>
      </w:r>
      <w:r>
        <w:t xml:space="preserve"> </w:t>
      </w:r>
      <w:r w:rsidRPr="00ED13F4">
        <w:t>t</w:t>
      </w:r>
      <w:r>
        <w:t>wo</w:t>
      </w:r>
      <w:r w:rsidRPr="00ED13F4">
        <w:t xml:space="preserve"> main parts:</w:t>
      </w:r>
    </w:p>
    <w:p w14:paraId="16812B40" w14:textId="77777777" w:rsidR="008B0B67" w:rsidRPr="00ED13F4" w:rsidRDefault="008B0B67" w:rsidP="008B0B67">
      <w:pPr>
        <w:pStyle w:val="Listaszerbekezds"/>
        <w:numPr>
          <w:ilvl w:val="0"/>
          <w:numId w:val="7"/>
        </w:numPr>
        <w:spacing w:after="160" w:line="259" w:lineRule="auto"/>
      </w:pPr>
      <w:r>
        <w:t>Technical Documentation</w:t>
      </w:r>
    </w:p>
    <w:p w14:paraId="7464F2A4" w14:textId="77777777" w:rsidR="008B0B67" w:rsidRPr="00ED13F4" w:rsidRDefault="008B0B67" w:rsidP="008B0B67">
      <w:pPr>
        <w:pStyle w:val="Listaszerbekezds"/>
        <w:numPr>
          <w:ilvl w:val="0"/>
          <w:numId w:val="8"/>
        </w:numPr>
        <w:spacing w:after="160" w:line="259" w:lineRule="auto"/>
        <w:ind w:left="1276"/>
      </w:pPr>
      <w:r w:rsidRPr="00ED13F4">
        <w:t>evaluation of the Technical Documentation assessed by the manufacturer,</w:t>
      </w:r>
    </w:p>
    <w:p w14:paraId="5FBD66DA" w14:textId="77777777" w:rsidR="008B0B67" w:rsidRDefault="008B0B67" w:rsidP="008B0B67">
      <w:pPr>
        <w:pStyle w:val="Listaszerbekezds"/>
        <w:numPr>
          <w:ilvl w:val="0"/>
          <w:numId w:val="8"/>
        </w:numPr>
        <w:spacing w:after="160" w:line="259" w:lineRule="auto"/>
        <w:ind w:left="1276"/>
      </w:pPr>
      <w:r w:rsidRPr="00ED13F4">
        <w:t>evaluation of the laboratory test result of the product analysed by our subcontractor laboratory.</w:t>
      </w:r>
    </w:p>
    <w:p w14:paraId="001F9AFB" w14:textId="77777777" w:rsidR="008B0B67" w:rsidRDefault="008B0B67" w:rsidP="008B0B67">
      <w:pPr>
        <w:pStyle w:val="Listaszerbekezds"/>
        <w:numPr>
          <w:ilvl w:val="0"/>
          <w:numId w:val="7"/>
        </w:numPr>
        <w:spacing w:after="160" w:line="259" w:lineRule="auto"/>
      </w:pPr>
      <w:r>
        <w:t>Quality System</w:t>
      </w:r>
    </w:p>
    <w:p w14:paraId="055CA8B1" w14:textId="71A629B3" w:rsidR="008B0B67" w:rsidRPr="00922B0B" w:rsidRDefault="008B0B67" w:rsidP="00922B0B">
      <w:pPr>
        <w:pStyle w:val="Listaszerbekezds"/>
      </w:pPr>
      <w:r>
        <w:t>The manufacturer shall implement a quality system which shall ensure compliance of the EU fertilising products with the requirements of this Regulation that apply to them.</w:t>
      </w:r>
    </w:p>
    <w:p w14:paraId="3F608FB5" w14:textId="77777777" w:rsidR="008B0B67" w:rsidRDefault="008B0B67" w:rsidP="004B5556">
      <w:pPr>
        <w:spacing w:after="160" w:line="259" w:lineRule="auto"/>
        <w:rPr>
          <w:rFonts w:eastAsiaTheme="minorHAnsi" w:cstheme="minorBidi"/>
          <w:kern w:val="2"/>
          <w:szCs w:val="22"/>
          <w14:ligatures w14:val="standardContextual"/>
        </w:rPr>
      </w:pPr>
    </w:p>
    <w:p w14:paraId="46E4F1BB" w14:textId="4993D860" w:rsidR="00FD7398" w:rsidRDefault="004B5556" w:rsidP="004B5556">
      <w:pPr>
        <w:spacing w:before="240" w:after="160" w:line="259" w:lineRule="auto"/>
        <w:rPr>
          <w:rFonts w:eastAsiaTheme="minorHAnsi" w:cstheme="minorBidi"/>
          <w:b/>
          <w:bCs/>
          <w:kern w:val="2"/>
          <w:szCs w:val="22"/>
          <w14:ligatures w14:val="standardContextual"/>
        </w:rPr>
      </w:pPr>
      <w:r w:rsidRPr="004B5556">
        <w:rPr>
          <w:rFonts w:eastAsiaTheme="minorHAnsi" w:cstheme="minorBidi"/>
          <w:kern w:val="2"/>
          <w:szCs w:val="22"/>
          <w14:ligatures w14:val="standardContextual"/>
        </w:rPr>
        <w:t>In this guide, we would like to outline the necessary elements of technical documentation required by FPR regulations.</w:t>
      </w:r>
      <w:r w:rsidR="00441C2E">
        <w:rPr>
          <w:rFonts w:eastAsiaTheme="minorHAnsi" w:cstheme="minorBidi"/>
          <w:kern w:val="2"/>
          <w:szCs w:val="22"/>
          <w14:ligatures w14:val="standardContextual"/>
        </w:rPr>
        <w:t xml:space="preserve"> </w:t>
      </w:r>
      <w:r w:rsidR="00441C2E" w:rsidRPr="001B226A">
        <w:rPr>
          <w:rFonts w:eastAsiaTheme="minorHAnsi" w:cstheme="minorBidi"/>
          <w:b/>
          <w:bCs/>
          <w:kern w:val="2"/>
          <w:szCs w:val="22"/>
          <w14:ligatures w14:val="standardContextual"/>
        </w:rPr>
        <w:t>An unofficial document that does not exempt you from the obligation to apply the FPR, only assists in the interpretation regarding the compilation of technical documentation.</w:t>
      </w:r>
    </w:p>
    <w:p w14:paraId="47E0B6BD" w14:textId="77777777" w:rsidR="00FD7398" w:rsidRDefault="00FD7398">
      <w:pPr>
        <w:spacing w:after="160" w:line="259" w:lineRule="auto"/>
        <w:jc w:val="left"/>
        <w:rPr>
          <w:rFonts w:eastAsiaTheme="minorHAnsi" w:cstheme="minorBidi"/>
          <w:b/>
          <w:bCs/>
          <w:kern w:val="2"/>
          <w:szCs w:val="22"/>
          <w14:ligatures w14:val="standardContextual"/>
        </w:rPr>
      </w:pPr>
      <w:r>
        <w:rPr>
          <w:rFonts w:eastAsiaTheme="minorHAnsi" w:cstheme="minorBidi"/>
          <w:b/>
          <w:bCs/>
          <w:kern w:val="2"/>
          <w:szCs w:val="22"/>
          <w14:ligatures w14:val="standardContextual"/>
        </w:rPr>
        <w:br w:type="page"/>
      </w:r>
    </w:p>
    <w:p w14:paraId="609EDD12" w14:textId="77777777" w:rsidR="004B5556" w:rsidRDefault="004B5556" w:rsidP="004B5556">
      <w:pPr>
        <w:spacing w:before="240" w:after="160" w:line="259" w:lineRule="auto"/>
        <w:rPr>
          <w:rFonts w:eastAsiaTheme="minorHAnsi" w:cstheme="minorBidi"/>
          <w:kern w:val="2"/>
          <w:szCs w:val="22"/>
          <w14:ligatures w14:val="standardContextual"/>
        </w:rPr>
      </w:pPr>
    </w:p>
    <w:p w14:paraId="6777D1C5" w14:textId="28A84D40" w:rsidR="001B226A" w:rsidRPr="001B226A" w:rsidRDefault="001B226A" w:rsidP="001B226A">
      <w:pPr>
        <w:pStyle w:val="Kpalrs"/>
        <w:keepNext/>
        <w:rPr>
          <w:sz w:val="22"/>
          <w:szCs w:val="22"/>
        </w:rPr>
      </w:pPr>
      <w:r w:rsidRPr="001B226A">
        <w:rPr>
          <w:sz w:val="22"/>
          <w:szCs w:val="22"/>
        </w:rPr>
        <w:fldChar w:fldCharType="begin"/>
      </w:r>
      <w:r w:rsidRPr="001B226A">
        <w:rPr>
          <w:sz w:val="22"/>
          <w:szCs w:val="22"/>
        </w:rPr>
        <w:instrText xml:space="preserve"> SEQ Figure \* ARABIC </w:instrText>
      </w:r>
      <w:r w:rsidRPr="001B226A">
        <w:rPr>
          <w:sz w:val="22"/>
          <w:szCs w:val="22"/>
        </w:rPr>
        <w:fldChar w:fldCharType="separate"/>
      </w:r>
      <w:r w:rsidR="00650FD8">
        <w:rPr>
          <w:noProof/>
          <w:sz w:val="22"/>
          <w:szCs w:val="22"/>
        </w:rPr>
        <w:t>1</w:t>
      </w:r>
      <w:r w:rsidRPr="001B226A">
        <w:rPr>
          <w:sz w:val="22"/>
          <w:szCs w:val="22"/>
        </w:rPr>
        <w:fldChar w:fldCharType="end"/>
      </w:r>
      <w:r w:rsidRPr="001B226A">
        <w:rPr>
          <w:sz w:val="22"/>
          <w:szCs w:val="22"/>
        </w:rPr>
        <w:t>. Figure: Example for the cover page, which contains all the necessary information</w:t>
      </w:r>
    </w:p>
    <w:p w14:paraId="16482CAD" w14:textId="4CE955E8" w:rsidR="00E42324" w:rsidRDefault="00DD7AF8" w:rsidP="001B226A">
      <w:pPr>
        <w:spacing w:before="240" w:after="160" w:line="259" w:lineRule="auto"/>
        <w:jc w:val="center"/>
        <w:rPr>
          <w:rFonts w:eastAsiaTheme="minorHAnsi" w:cstheme="minorBidi"/>
          <w:kern w:val="2"/>
          <w:szCs w:val="22"/>
          <w14:ligatures w14:val="standardContextual"/>
        </w:rPr>
      </w:pPr>
      <w:r w:rsidRPr="00DD7AF8">
        <w:rPr>
          <w:rFonts w:eastAsiaTheme="minorHAnsi" w:cstheme="minorBidi"/>
          <w:noProof/>
          <w:kern w:val="2"/>
          <w:szCs w:val="22"/>
          <w14:ligatures w14:val="standardContextual"/>
        </w:rPr>
        <w:drawing>
          <wp:inline distT="0" distB="0" distL="0" distR="0" wp14:anchorId="2E9171EF" wp14:editId="2B56F969">
            <wp:extent cx="4533900" cy="6995459"/>
            <wp:effectExtent l="0" t="0" r="0" b="0"/>
            <wp:docPr id="981339390" name="Kép 1" descr="A képen szöveg, képernyőkép, Betűtípus, dokumentu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39390" name="Kép 1" descr="A képen szöveg, képernyőkép, Betűtípus, dokumentum látható&#10;&#10;Előfordulhat, hogy a mesterséges intelligencia által létrehozott tartalom helytelen."/>
                    <pic:cNvPicPr/>
                  </pic:nvPicPr>
                  <pic:blipFill>
                    <a:blip r:embed="rId8"/>
                    <a:stretch>
                      <a:fillRect/>
                    </a:stretch>
                  </pic:blipFill>
                  <pic:spPr>
                    <a:xfrm>
                      <a:off x="0" y="0"/>
                      <a:ext cx="4540112" cy="7005043"/>
                    </a:xfrm>
                    <a:prstGeom prst="rect">
                      <a:avLst/>
                    </a:prstGeom>
                  </pic:spPr>
                </pic:pic>
              </a:graphicData>
            </a:graphic>
          </wp:inline>
        </w:drawing>
      </w:r>
    </w:p>
    <w:p w14:paraId="0627798C" w14:textId="4EE87532" w:rsidR="00DE3365" w:rsidRDefault="00DE3365">
      <w:pPr>
        <w:spacing w:after="160" w:line="259" w:lineRule="auto"/>
        <w:rPr>
          <w:rFonts w:asciiTheme="majorHAnsi" w:eastAsiaTheme="majorEastAsia" w:hAnsiTheme="majorHAnsi" w:cstheme="majorBidi"/>
          <w:color w:val="000000" w:themeColor="text1"/>
          <w:sz w:val="36"/>
          <w:szCs w:val="40"/>
        </w:rPr>
      </w:pPr>
      <w:r>
        <w:br w:type="page"/>
      </w:r>
    </w:p>
    <w:p w14:paraId="76D23CE0" w14:textId="0CB13ABF" w:rsidR="00AC426A" w:rsidRDefault="00226DB8" w:rsidP="00B20D59">
      <w:pPr>
        <w:pStyle w:val="Cmsor1"/>
      </w:pPr>
      <w:bookmarkStart w:id="1" w:name="_Toc194918368"/>
      <w:r>
        <w:lastRenderedPageBreak/>
        <w:t>Technical Documentation</w:t>
      </w:r>
      <w:bookmarkEnd w:id="1"/>
    </w:p>
    <w:p w14:paraId="5716C1A2" w14:textId="5496154F" w:rsidR="00C86561" w:rsidRDefault="00C86561" w:rsidP="00C86561">
      <w:pPr>
        <w:spacing w:before="360"/>
      </w:pPr>
      <w:r>
        <w:t>According to the (EU) No. 2019/1009 Regulation Annex IV. Part II. Module D</w:t>
      </w:r>
      <w:r w:rsidR="00BD2C76">
        <w:t>1</w:t>
      </w:r>
      <w:r>
        <w:t xml:space="preserve"> 2.2 the following requirements </w:t>
      </w:r>
      <w:proofErr w:type="gramStart"/>
      <w:r>
        <w:t>have to</w:t>
      </w:r>
      <w:proofErr w:type="gramEnd"/>
      <w:r>
        <w:t xml:space="preserve"> be completed during the type-examination:</w:t>
      </w:r>
    </w:p>
    <w:p w14:paraId="574D99EB" w14:textId="1F0F47F5" w:rsidR="00C86561" w:rsidRPr="00C86561" w:rsidRDefault="00C86561" w:rsidP="00C86561">
      <w:r>
        <w:t>The manufacturer shall establish the technical documentation. The technical documentation shall specify the applicable requirements and cover, as far as relevant for the assessment, the design, manufacture, and intended use of the EU fertilising product</w:t>
      </w:r>
    </w:p>
    <w:p w14:paraId="1FABB65B" w14:textId="4D01535F" w:rsidR="00DE3365" w:rsidRDefault="00226DB8" w:rsidP="00B14FE9">
      <w:pPr>
        <w:pStyle w:val="Cmsor3"/>
        <w:spacing w:before="480" w:after="240"/>
      </w:pPr>
      <w:bookmarkStart w:id="2" w:name="_Toc194918369"/>
      <w:r>
        <w:t xml:space="preserve">(a) </w:t>
      </w:r>
      <w:r w:rsidR="00DE3365">
        <w:t>General description</w:t>
      </w:r>
      <w:bookmarkEnd w:id="2"/>
    </w:p>
    <w:p w14:paraId="6CDE9891" w14:textId="79FAA57D" w:rsidR="00226DB8" w:rsidRPr="008A5918" w:rsidRDefault="00226DB8" w:rsidP="00DE3365">
      <w:pPr>
        <w:spacing w:after="360"/>
        <w:rPr>
          <w:b/>
          <w:bCs/>
        </w:rPr>
      </w:pPr>
      <w:r w:rsidRPr="008A5918">
        <w:rPr>
          <w:b/>
          <w:bCs/>
        </w:rPr>
        <w:t>General description of the EU fertilising product, the PFC corresponding to the claimed function of the EU fertilising product and description of the intended use.</w:t>
      </w:r>
    </w:p>
    <w:p w14:paraId="77CD4F67" w14:textId="3C61A266" w:rsidR="00226DB8" w:rsidRPr="00226DB8" w:rsidRDefault="00226DB8" w:rsidP="00226DB8">
      <w:pPr>
        <w:spacing w:after="240"/>
        <w:rPr>
          <w:caps/>
        </w:rPr>
      </w:pPr>
      <w:r w:rsidRPr="00E762B4">
        <w:rPr>
          <w:i/>
          <w:iCs/>
          <w:highlight w:val="yellow"/>
        </w:rPr>
        <w:t>PFC category</w:t>
      </w:r>
      <w:r w:rsidRPr="00E762B4">
        <w:rPr>
          <w:highlight w:val="yellow"/>
        </w:rPr>
        <w:t>:</w:t>
      </w:r>
      <w:r>
        <w:t xml:space="preserve"> </w:t>
      </w:r>
    </w:p>
    <w:p w14:paraId="4CE46CAA" w14:textId="558C23F0" w:rsidR="00226DB8" w:rsidRDefault="00226DB8" w:rsidP="00226DB8">
      <w:pPr>
        <w:spacing w:after="240"/>
      </w:pPr>
      <w:r w:rsidRPr="00E762B4">
        <w:rPr>
          <w:i/>
          <w:iCs/>
          <w:highlight w:val="yellow"/>
        </w:rPr>
        <w:t>General description:</w:t>
      </w:r>
      <w:r>
        <w:t xml:space="preserve"> </w:t>
      </w:r>
    </w:p>
    <w:p w14:paraId="1BADF4C1" w14:textId="27FF3F0F" w:rsidR="00226DB8" w:rsidRPr="00226DB8" w:rsidRDefault="00226DB8" w:rsidP="00226DB8">
      <w:pPr>
        <w:spacing w:after="240"/>
      </w:pPr>
      <w:r w:rsidRPr="00E762B4">
        <w:rPr>
          <w:i/>
          <w:iCs/>
          <w:highlight w:val="yellow"/>
        </w:rPr>
        <w:t>Ingredients:</w:t>
      </w:r>
      <w:r>
        <w:t xml:space="preserve"> </w:t>
      </w:r>
    </w:p>
    <w:p w14:paraId="7C20BE82" w14:textId="31761FC7" w:rsidR="00226DB8" w:rsidRDefault="00226DB8" w:rsidP="00226DB8">
      <w:pPr>
        <w:spacing w:after="240"/>
      </w:pPr>
      <w:r w:rsidRPr="00E762B4">
        <w:rPr>
          <w:i/>
          <w:iCs/>
          <w:highlight w:val="yellow"/>
        </w:rPr>
        <w:t>Timing and application rates:</w:t>
      </w:r>
      <w:r>
        <w:t xml:space="preserve"> </w:t>
      </w:r>
    </w:p>
    <w:p w14:paraId="3BAF7351" w14:textId="310123F4" w:rsidR="00226DB8" w:rsidRPr="00226DB8" w:rsidRDefault="00226DB8" w:rsidP="00226DB8">
      <w:pPr>
        <w:spacing w:after="240"/>
      </w:pPr>
      <w:r w:rsidRPr="00E762B4">
        <w:rPr>
          <w:i/>
          <w:iCs/>
          <w:highlight w:val="yellow"/>
        </w:rPr>
        <w:t>Storage and shelf life:</w:t>
      </w:r>
      <w:r>
        <w:t xml:space="preserve"> </w:t>
      </w:r>
    </w:p>
    <w:p w14:paraId="545614E4" w14:textId="189907E8" w:rsidR="00226DB8" w:rsidRDefault="00226DB8" w:rsidP="00226DB8">
      <w:pPr>
        <w:spacing w:after="240"/>
      </w:pPr>
      <w:r w:rsidRPr="00E762B4">
        <w:rPr>
          <w:i/>
          <w:iCs/>
          <w:highlight w:val="yellow"/>
        </w:rPr>
        <w:t>Potential risk(s) of usage</w:t>
      </w:r>
      <w:r>
        <w:rPr>
          <w:i/>
          <w:iCs/>
        </w:rPr>
        <w:t>:</w:t>
      </w:r>
      <w:r>
        <w:t xml:space="preserve"> </w:t>
      </w:r>
    </w:p>
    <w:p w14:paraId="6285DB74" w14:textId="77777777" w:rsidR="008766A3" w:rsidRDefault="008766A3" w:rsidP="008766A3">
      <w:pPr>
        <w:spacing w:before="480"/>
      </w:pPr>
      <w:r w:rsidRPr="008766A3">
        <w:rPr>
          <w:i/>
          <w:iCs/>
        </w:rPr>
        <w:t xml:space="preserve">The safety data sheet of </w:t>
      </w:r>
      <w:r w:rsidRPr="008766A3">
        <w:rPr>
          <w:i/>
          <w:iCs/>
          <w:highlight w:val="yellow"/>
        </w:rPr>
        <w:t>the product</w:t>
      </w:r>
      <w:r w:rsidRPr="006214E9">
        <w:t xml:space="preserve"> </w:t>
      </w:r>
      <w:r>
        <w:t>may be</w:t>
      </w:r>
      <w:r w:rsidRPr="006214E9">
        <w:t xml:space="preserve"> likewise provided as a separate </w:t>
      </w:r>
      <w:proofErr w:type="gramStart"/>
      <w:r w:rsidRPr="006214E9">
        <w:t>file</w:t>
      </w:r>
      <w:proofErr w:type="gramEnd"/>
      <w:r>
        <w:t xml:space="preserve"> and the file name can be indicated</w:t>
      </w:r>
      <w:r w:rsidRPr="006214E9">
        <w:t>:</w:t>
      </w:r>
    </w:p>
    <w:p w14:paraId="4440EDE5" w14:textId="77777777" w:rsidR="008766A3" w:rsidRPr="006214E9" w:rsidRDefault="008766A3" w:rsidP="008766A3">
      <w:pPr>
        <w:spacing w:before="480"/>
        <w:ind w:left="426"/>
        <w:rPr>
          <w:i/>
          <w:iCs/>
        </w:rPr>
      </w:pPr>
      <w:r w:rsidRPr="00801269">
        <w:rPr>
          <w:i/>
          <w:iCs/>
          <w:highlight w:val="yellow"/>
        </w:rPr>
        <w:t>product SDS</w:t>
      </w:r>
      <w:r w:rsidRPr="006214E9">
        <w:rPr>
          <w:i/>
          <w:iCs/>
        </w:rPr>
        <w:t>.pdf</w:t>
      </w:r>
    </w:p>
    <w:p w14:paraId="620CEBF3" w14:textId="2A643D06" w:rsidR="008766A3" w:rsidRDefault="008766A3" w:rsidP="00226DB8">
      <w:pPr>
        <w:spacing w:after="240"/>
      </w:pPr>
    </w:p>
    <w:p w14:paraId="691D662D" w14:textId="77777777" w:rsidR="00DE3365" w:rsidRDefault="00DE3365">
      <w:pPr>
        <w:spacing w:after="160" w:line="259" w:lineRule="auto"/>
        <w:rPr>
          <w:rFonts w:asciiTheme="majorHAnsi" w:eastAsiaTheme="majorEastAsia" w:hAnsiTheme="majorHAnsi" w:cstheme="majorBidi"/>
          <w:b/>
          <w:color w:val="000000" w:themeColor="text1"/>
          <w:sz w:val="24"/>
          <w:szCs w:val="28"/>
        </w:rPr>
      </w:pPr>
      <w:r>
        <w:br w:type="page"/>
      </w:r>
    </w:p>
    <w:p w14:paraId="5094C0E1" w14:textId="460AD473" w:rsidR="00DE3365" w:rsidRDefault="00B14FE9" w:rsidP="00DE3365">
      <w:pPr>
        <w:pStyle w:val="Cmsor3"/>
        <w:spacing w:before="480" w:after="360"/>
      </w:pPr>
      <w:bookmarkStart w:id="3" w:name="_Toc194918370"/>
      <w:r>
        <w:lastRenderedPageBreak/>
        <w:t xml:space="preserve">(b) </w:t>
      </w:r>
      <w:r w:rsidR="00DE3365">
        <w:t>List of component materials</w:t>
      </w:r>
      <w:bookmarkEnd w:id="3"/>
    </w:p>
    <w:p w14:paraId="18535264" w14:textId="7C72A956" w:rsidR="00B14FE9" w:rsidRPr="008A5918" w:rsidRDefault="00DE3365" w:rsidP="00DE3365">
      <w:pPr>
        <w:rPr>
          <w:b/>
          <w:bCs/>
        </w:rPr>
      </w:pPr>
      <w:r w:rsidRPr="008A5918">
        <w:rPr>
          <w:b/>
          <w:bCs/>
        </w:rPr>
        <w:t>A</w:t>
      </w:r>
      <w:r w:rsidR="00B14FE9" w:rsidRPr="008A5918">
        <w:rPr>
          <w:b/>
          <w:bCs/>
        </w:rPr>
        <w:t xml:space="preserve"> list of component materials used, the CMCs as referred to in Annex II to which they belong</w:t>
      </w:r>
      <w:r w:rsidR="00CF0E6A" w:rsidRPr="008A5918">
        <w:rPr>
          <w:b/>
          <w:bCs/>
        </w:rPr>
        <w:t>,</w:t>
      </w:r>
      <w:r w:rsidR="00B14FE9" w:rsidRPr="008A5918">
        <w:rPr>
          <w:b/>
          <w:bCs/>
        </w:rPr>
        <w:t xml:space="preserve"> and information about their origin or manufacturing process.</w:t>
      </w:r>
    </w:p>
    <w:p w14:paraId="2A0D34A2" w14:textId="75AFA058" w:rsidR="00DE3365" w:rsidRPr="00947F37" w:rsidRDefault="00D66673" w:rsidP="00DE3365">
      <w:pPr>
        <w:spacing w:after="600"/>
        <w:rPr>
          <w:i/>
          <w:iCs/>
        </w:rPr>
      </w:pPr>
      <w:r w:rsidRPr="00D66673">
        <w:rPr>
          <w:i/>
          <w:iCs/>
        </w:rPr>
        <w:t xml:space="preserve">The component materials list must include the component material category (CMC), </w:t>
      </w:r>
      <w:r w:rsidR="009A018C">
        <w:rPr>
          <w:i/>
          <w:iCs/>
        </w:rPr>
        <w:t xml:space="preserve">CAS number, REACH number (if applicable), </w:t>
      </w:r>
      <w:r w:rsidRPr="00D66673">
        <w:rPr>
          <w:i/>
          <w:iCs/>
        </w:rPr>
        <w:t>its origin, and all materials present in the product.</w:t>
      </w:r>
      <w:r w:rsidRPr="00D66673">
        <w:t xml:space="preserve"> </w:t>
      </w:r>
      <w:r w:rsidRPr="00D66673">
        <w:rPr>
          <w:i/>
          <w:iCs/>
        </w:rPr>
        <w:t>This list could be in the form of a table, or other.</w:t>
      </w:r>
    </w:p>
    <w:tbl>
      <w:tblPr>
        <w:tblStyle w:val="Rcsostblzat"/>
        <w:tblW w:w="5000" w:type="pct"/>
        <w:tblLook w:val="04A0" w:firstRow="1" w:lastRow="0" w:firstColumn="1" w:lastColumn="0" w:noHBand="0" w:noVBand="1"/>
      </w:tblPr>
      <w:tblGrid>
        <w:gridCol w:w="1491"/>
        <w:gridCol w:w="1491"/>
        <w:gridCol w:w="1491"/>
        <w:gridCol w:w="1492"/>
        <w:gridCol w:w="1492"/>
        <w:gridCol w:w="1605"/>
      </w:tblGrid>
      <w:tr w:rsidR="00CF0E6A" w14:paraId="749F8AC6" w14:textId="77777777" w:rsidTr="00D66673">
        <w:tc>
          <w:tcPr>
            <w:tcW w:w="823" w:type="pct"/>
          </w:tcPr>
          <w:p w14:paraId="1A1575E6" w14:textId="77777777" w:rsidR="00CF0E6A" w:rsidRPr="00FC1491" w:rsidRDefault="00CF0E6A" w:rsidP="00351E86">
            <w:pPr>
              <w:rPr>
                <w:rFonts w:ascii="Arial" w:hAnsi="Arial" w:cs="Arial"/>
                <w:b/>
                <w:bCs/>
                <w:sz w:val="20"/>
              </w:rPr>
            </w:pPr>
            <w:r w:rsidRPr="00FC1491">
              <w:rPr>
                <w:rFonts w:ascii="Arial" w:hAnsi="Arial" w:cs="Arial"/>
                <w:b/>
                <w:bCs/>
                <w:sz w:val="20"/>
              </w:rPr>
              <w:t>Name of the ingredient</w:t>
            </w:r>
          </w:p>
        </w:tc>
        <w:tc>
          <w:tcPr>
            <w:tcW w:w="823" w:type="pct"/>
          </w:tcPr>
          <w:p w14:paraId="4458C61B" w14:textId="77777777" w:rsidR="00CF0E6A" w:rsidRDefault="00CF0E6A" w:rsidP="00351E86">
            <w:pPr>
              <w:rPr>
                <w:rFonts w:ascii="Arial" w:hAnsi="Arial" w:cs="Arial"/>
                <w:sz w:val="20"/>
              </w:rPr>
            </w:pPr>
            <w:r w:rsidRPr="00FC1491">
              <w:rPr>
                <w:rFonts w:ascii="Arial" w:hAnsi="Arial" w:cs="Arial"/>
                <w:b/>
                <w:bCs/>
                <w:sz w:val="20"/>
              </w:rPr>
              <w:t>CMC category</w:t>
            </w:r>
            <w:r>
              <w:rPr>
                <w:rFonts w:ascii="Arial" w:hAnsi="Arial" w:cs="Arial"/>
                <w:sz w:val="20"/>
              </w:rPr>
              <w:t xml:space="preserve"> (based on Annex II.)</w:t>
            </w:r>
          </w:p>
        </w:tc>
        <w:tc>
          <w:tcPr>
            <w:tcW w:w="823" w:type="pct"/>
          </w:tcPr>
          <w:p w14:paraId="1CB4D393" w14:textId="77777777" w:rsidR="00CF0E6A" w:rsidRDefault="00CF0E6A" w:rsidP="00351E86">
            <w:pPr>
              <w:rPr>
                <w:rFonts w:ascii="Arial" w:hAnsi="Arial" w:cs="Arial"/>
                <w:sz w:val="20"/>
              </w:rPr>
            </w:pPr>
            <w:r w:rsidRPr="00FC1491">
              <w:rPr>
                <w:rFonts w:ascii="Arial" w:hAnsi="Arial" w:cs="Arial"/>
                <w:b/>
                <w:bCs/>
                <w:sz w:val="20"/>
              </w:rPr>
              <w:t>CAS No</w:t>
            </w:r>
            <w:r>
              <w:rPr>
                <w:rFonts w:ascii="Arial" w:hAnsi="Arial" w:cs="Arial"/>
                <w:sz w:val="20"/>
              </w:rPr>
              <w:t>.</w:t>
            </w:r>
          </w:p>
        </w:tc>
        <w:tc>
          <w:tcPr>
            <w:tcW w:w="823" w:type="pct"/>
          </w:tcPr>
          <w:p w14:paraId="6025791B" w14:textId="77777777" w:rsidR="00CF0E6A" w:rsidRDefault="00CF0E6A" w:rsidP="00351E86">
            <w:pPr>
              <w:rPr>
                <w:rFonts w:ascii="Arial" w:hAnsi="Arial" w:cs="Arial"/>
                <w:sz w:val="20"/>
              </w:rPr>
            </w:pPr>
            <w:r w:rsidRPr="00FC1491">
              <w:rPr>
                <w:rFonts w:ascii="Arial" w:hAnsi="Arial" w:cs="Arial"/>
                <w:b/>
                <w:bCs/>
                <w:sz w:val="20"/>
              </w:rPr>
              <w:t>REACH no</w:t>
            </w:r>
            <w:r>
              <w:rPr>
                <w:rFonts w:ascii="Arial" w:hAnsi="Arial" w:cs="Arial"/>
                <w:sz w:val="20"/>
              </w:rPr>
              <w:t>. (if applicable / or reason for exemption of reg.)</w:t>
            </w:r>
          </w:p>
        </w:tc>
        <w:tc>
          <w:tcPr>
            <w:tcW w:w="823" w:type="pct"/>
          </w:tcPr>
          <w:p w14:paraId="18A3DE52" w14:textId="77777777" w:rsidR="00CF0E6A" w:rsidRPr="00FC1491" w:rsidRDefault="00CF0E6A" w:rsidP="00351E86">
            <w:pPr>
              <w:rPr>
                <w:rFonts w:ascii="Arial" w:hAnsi="Arial" w:cs="Arial"/>
                <w:b/>
                <w:bCs/>
                <w:sz w:val="20"/>
              </w:rPr>
            </w:pPr>
            <w:r w:rsidRPr="00FC1491">
              <w:rPr>
                <w:rFonts w:ascii="Arial" w:hAnsi="Arial" w:cs="Arial"/>
                <w:b/>
                <w:bCs/>
                <w:sz w:val="20"/>
              </w:rPr>
              <w:t>REACH</w:t>
            </w:r>
          </w:p>
          <w:p w14:paraId="6194BDA3" w14:textId="77777777" w:rsidR="00CF0E6A" w:rsidRDefault="00CF0E6A" w:rsidP="00351E86">
            <w:pPr>
              <w:rPr>
                <w:rFonts w:ascii="Arial" w:hAnsi="Arial" w:cs="Arial"/>
                <w:sz w:val="20"/>
              </w:rPr>
            </w:pPr>
            <w:r w:rsidRPr="00FC1491">
              <w:rPr>
                <w:rFonts w:ascii="Arial" w:hAnsi="Arial" w:cs="Arial"/>
                <w:b/>
                <w:bCs/>
                <w:sz w:val="20"/>
              </w:rPr>
              <w:t>Compliance</w:t>
            </w:r>
          </w:p>
        </w:tc>
        <w:tc>
          <w:tcPr>
            <w:tcW w:w="886" w:type="pct"/>
          </w:tcPr>
          <w:p w14:paraId="223C0BDB" w14:textId="238ECC1F" w:rsidR="00CF0E6A" w:rsidRPr="00FC1491" w:rsidRDefault="00CF0E6A" w:rsidP="0098788B">
            <w:pPr>
              <w:jc w:val="left"/>
              <w:rPr>
                <w:rFonts w:ascii="Arial" w:hAnsi="Arial" w:cs="Arial"/>
                <w:b/>
                <w:bCs/>
                <w:sz w:val="20"/>
              </w:rPr>
            </w:pPr>
            <w:r>
              <w:rPr>
                <w:rFonts w:ascii="Arial" w:hAnsi="Arial" w:cs="Arial"/>
                <w:b/>
                <w:bCs/>
                <w:sz w:val="20"/>
              </w:rPr>
              <w:t>Origin</w:t>
            </w:r>
            <w:r w:rsidR="0098788B">
              <w:t xml:space="preserve"> / </w:t>
            </w:r>
            <w:r w:rsidR="0098788B" w:rsidRPr="0098788B">
              <w:rPr>
                <w:rFonts w:ascii="Arial" w:hAnsi="Arial" w:cs="Arial"/>
                <w:b/>
                <w:bCs/>
                <w:sz w:val="20"/>
              </w:rPr>
              <w:t>manufacturing process</w:t>
            </w:r>
          </w:p>
        </w:tc>
      </w:tr>
      <w:tr w:rsidR="00CF0E6A" w14:paraId="7DC7944B" w14:textId="77777777" w:rsidTr="00D66673">
        <w:tc>
          <w:tcPr>
            <w:tcW w:w="823" w:type="pct"/>
          </w:tcPr>
          <w:p w14:paraId="279BD34E" w14:textId="77777777" w:rsidR="00CF0E6A" w:rsidRDefault="00CF0E6A" w:rsidP="00351E86">
            <w:pPr>
              <w:rPr>
                <w:rFonts w:ascii="Arial" w:hAnsi="Arial" w:cs="Arial"/>
                <w:sz w:val="20"/>
              </w:rPr>
            </w:pPr>
          </w:p>
        </w:tc>
        <w:tc>
          <w:tcPr>
            <w:tcW w:w="823" w:type="pct"/>
          </w:tcPr>
          <w:p w14:paraId="2006171A" w14:textId="77777777" w:rsidR="00CF0E6A" w:rsidRDefault="00CF0E6A" w:rsidP="00351E86">
            <w:pPr>
              <w:rPr>
                <w:rFonts w:ascii="Arial" w:hAnsi="Arial" w:cs="Arial"/>
                <w:sz w:val="20"/>
              </w:rPr>
            </w:pPr>
          </w:p>
        </w:tc>
        <w:tc>
          <w:tcPr>
            <w:tcW w:w="823" w:type="pct"/>
          </w:tcPr>
          <w:p w14:paraId="24B10A07" w14:textId="77777777" w:rsidR="00CF0E6A" w:rsidRDefault="00CF0E6A" w:rsidP="00351E86">
            <w:pPr>
              <w:rPr>
                <w:rFonts w:ascii="Arial" w:hAnsi="Arial" w:cs="Arial"/>
                <w:sz w:val="20"/>
              </w:rPr>
            </w:pPr>
          </w:p>
        </w:tc>
        <w:tc>
          <w:tcPr>
            <w:tcW w:w="823" w:type="pct"/>
          </w:tcPr>
          <w:p w14:paraId="36DA7042" w14:textId="77777777" w:rsidR="00CF0E6A" w:rsidRDefault="00CF0E6A" w:rsidP="00351E86">
            <w:pPr>
              <w:rPr>
                <w:rFonts w:ascii="Arial" w:hAnsi="Arial" w:cs="Arial"/>
                <w:sz w:val="20"/>
              </w:rPr>
            </w:pPr>
          </w:p>
        </w:tc>
        <w:tc>
          <w:tcPr>
            <w:tcW w:w="823" w:type="pct"/>
          </w:tcPr>
          <w:p w14:paraId="751152EA" w14:textId="77777777" w:rsidR="00CF0E6A" w:rsidRDefault="00CF0E6A" w:rsidP="00351E86">
            <w:pPr>
              <w:rPr>
                <w:rFonts w:ascii="Arial" w:hAnsi="Arial" w:cs="Arial"/>
                <w:sz w:val="20"/>
              </w:rPr>
            </w:pPr>
          </w:p>
        </w:tc>
        <w:tc>
          <w:tcPr>
            <w:tcW w:w="886" w:type="pct"/>
          </w:tcPr>
          <w:p w14:paraId="34A6CB07" w14:textId="77777777" w:rsidR="00CF0E6A" w:rsidRDefault="00CF0E6A" w:rsidP="00351E86">
            <w:pPr>
              <w:rPr>
                <w:rFonts w:ascii="Arial" w:hAnsi="Arial" w:cs="Arial"/>
                <w:sz w:val="20"/>
              </w:rPr>
            </w:pPr>
          </w:p>
        </w:tc>
      </w:tr>
    </w:tbl>
    <w:p w14:paraId="12E5BE00" w14:textId="27EB0A32" w:rsidR="00EE4E6A" w:rsidRDefault="00EE4E6A" w:rsidP="006214E9">
      <w:pPr>
        <w:spacing w:before="480"/>
      </w:pPr>
      <w:r>
        <w:t>I</w:t>
      </w:r>
      <w:r w:rsidRPr="00EE4E6A">
        <w:t>n case of CMC 2: declaration that only the allowed procedures were applied</w:t>
      </w:r>
      <w:r>
        <w:t>.</w:t>
      </w:r>
    </w:p>
    <w:p w14:paraId="7A228A02" w14:textId="295A93D3" w:rsidR="00CF0E6A" w:rsidRDefault="006214E9" w:rsidP="006214E9">
      <w:pPr>
        <w:spacing w:before="480"/>
      </w:pPr>
      <w:r w:rsidRPr="006214E9">
        <w:t xml:space="preserve">A declaration of compliance with this criterion, safety data sheets of all components and regulatory data summaries </w:t>
      </w:r>
      <w:r w:rsidR="0076548C" w:rsidRPr="0076548C">
        <w:t>may be available as a separate file in the documentation.</w:t>
      </w:r>
      <w:r w:rsidR="009A018C" w:rsidRPr="009A018C">
        <w:t xml:space="preserve"> It makes it easier to identify documents if the files are listed here.</w:t>
      </w:r>
    </w:p>
    <w:p w14:paraId="11267AA8" w14:textId="50EA038C" w:rsidR="006214E9" w:rsidRPr="006214E9" w:rsidRDefault="006214E9" w:rsidP="006214E9">
      <w:pPr>
        <w:pStyle w:val="Listaszerbekezds"/>
        <w:numPr>
          <w:ilvl w:val="0"/>
          <w:numId w:val="2"/>
        </w:numPr>
        <w:spacing w:before="480"/>
        <w:rPr>
          <w:i/>
          <w:iCs/>
        </w:rPr>
      </w:pPr>
      <w:r w:rsidRPr="00041D49">
        <w:rPr>
          <w:i/>
          <w:iCs/>
          <w:highlight w:val="yellow"/>
          <w:shd w:val="clear" w:color="auto" w:fill="FFFF00"/>
        </w:rPr>
        <w:t>example</w:t>
      </w:r>
      <w:r w:rsidR="00041D49" w:rsidRPr="00041D49">
        <w:rPr>
          <w:i/>
          <w:iCs/>
          <w:shd w:val="clear" w:color="auto" w:fill="FFFF00"/>
        </w:rPr>
        <w:t xml:space="preserve"> SDS</w:t>
      </w:r>
      <w:r w:rsidR="00041D49">
        <w:rPr>
          <w:i/>
          <w:iCs/>
        </w:rPr>
        <w:t xml:space="preserve"> </w:t>
      </w:r>
      <w:r w:rsidRPr="006214E9">
        <w:rPr>
          <w:i/>
          <w:iCs/>
        </w:rPr>
        <w:t>.pdf</w:t>
      </w:r>
    </w:p>
    <w:p w14:paraId="777B2EA4" w14:textId="41ED308C" w:rsidR="006214E9" w:rsidRPr="006214E9" w:rsidRDefault="006214E9" w:rsidP="006214E9">
      <w:pPr>
        <w:pStyle w:val="Listaszerbekezds"/>
        <w:numPr>
          <w:ilvl w:val="0"/>
          <w:numId w:val="2"/>
        </w:numPr>
        <w:spacing w:before="480"/>
        <w:rPr>
          <w:i/>
          <w:iCs/>
        </w:rPr>
      </w:pPr>
      <w:r w:rsidRPr="000A7BA7">
        <w:rPr>
          <w:i/>
          <w:iCs/>
          <w:highlight w:val="yellow"/>
        </w:rPr>
        <w:t>example</w:t>
      </w:r>
      <w:r w:rsidR="00041D49">
        <w:rPr>
          <w:i/>
          <w:iCs/>
          <w:highlight w:val="yellow"/>
        </w:rPr>
        <w:t xml:space="preserve"> SDS</w:t>
      </w:r>
      <w:r w:rsidRPr="000A7BA7">
        <w:rPr>
          <w:i/>
          <w:iCs/>
          <w:highlight w:val="yellow"/>
        </w:rPr>
        <w:t>2</w:t>
      </w:r>
      <w:r w:rsidRPr="006214E9">
        <w:rPr>
          <w:i/>
          <w:iCs/>
        </w:rPr>
        <w:t>.pdf</w:t>
      </w:r>
    </w:p>
    <w:p w14:paraId="4C0BC1BF" w14:textId="3A8C3CBB" w:rsidR="006214E9" w:rsidRDefault="006214E9">
      <w:pPr>
        <w:spacing w:after="160" w:line="259" w:lineRule="auto"/>
      </w:pPr>
      <w:r>
        <w:br w:type="page"/>
      </w:r>
    </w:p>
    <w:p w14:paraId="3102A82D" w14:textId="12F44C64" w:rsidR="006214E9" w:rsidRDefault="00567EAB" w:rsidP="00567EAB">
      <w:pPr>
        <w:pStyle w:val="Cmsor3"/>
      </w:pPr>
      <w:bookmarkStart w:id="4" w:name="_Toc194918371"/>
      <w:r>
        <w:lastRenderedPageBreak/>
        <w:t>(c) The EU declarations of conformity for the component EU fertilising products of the fertilising product blend.</w:t>
      </w:r>
      <w:bookmarkEnd w:id="4"/>
    </w:p>
    <w:p w14:paraId="37D5B3DD" w14:textId="493D29E8" w:rsidR="00567EAB" w:rsidRPr="00947F37" w:rsidRDefault="00567EAB" w:rsidP="00567EAB">
      <w:pPr>
        <w:rPr>
          <w:i/>
          <w:iCs/>
        </w:rPr>
      </w:pPr>
      <w:r w:rsidRPr="00947F37">
        <w:rPr>
          <w:i/>
          <w:iCs/>
        </w:rPr>
        <w:t>This is required only for PFC 7.</w:t>
      </w:r>
      <w:r w:rsidR="00650FD8" w:rsidRPr="00650FD8">
        <w:t xml:space="preserve"> </w:t>
      </w:r>
      <w:r w:rsidR="00650FD8" w:rsidRPr="00650FD8">
        <w:rPr>
          <w:i/>
          <w:iCs/>
        </w:rPr>
        <w:t xml:space="preserve">The EU declarations of Conformity (EU </w:t>
      </w:r>
      <w:proofErr w:type="spellStart"/>
      <w:r w:rsidR="00650FD8" w:rsidRPr="00650FD8">
        <w:rPr>
          <w:i/>
          <w:iCs/>
        </w:rPr>
        <w:t>DoC</w:t>
      </w:r>
      <w:proofErr w:type="spellEnd"/>
      <w:r w:rsidR="00650FD8" w:rsidRPr="00650FD8">
        <w:rPr>
          <w:i/>
          <w:iCs/>
        </w:rPr>
        <w:t>) template</w:t>
      </w:r>
      <w:r w:rsidR="00650FD8">
        <w:rPr>
          <w:i/>
          <w:iCs/>
        </w:rPr>
        <w:t xml:space="preserve"> </w:t>
      </w:r>
      <w:r w:rsidR="00650FD8" w:rsidRPr="00650FD8">
        <w:rPr>
          <w:i/>
          <w:iCs/>
        </w:rPr>
        <w:t>is given in Annex V of the FPR.</w:t>
      </w:r>
    </w:p>
    <w:p w14:paraId="15A08E58" w14:textId="07B0A79F" w:rsidR="00B76C78" w:rsidRDefault="00B76C78" w:rsidP="00650FD8">
      <w:pPr>
        <w:spacing w:before="360"/>
      </w:pPr>
      <w:r>
        <w:t xml:space="preserve">The EU </w:t>
      </w:r>
      <w:proofErr w:type="spellStart"/>
      <w:r w:rsidR="00650FD8">
        <w:t>DoC</w:t>
      </w:r>
      <w:r w:rsidR="00270EBC">
        <w:t>may</w:t>
      </w:r>
      <w:proofErr w:type="spellEnd"/>
      <w:r w:rsidR="00270EBC">
        <w:t xml:space="preserve"> be</w:t>
      </w:r>
      <w:r>
        <w:t xml:space="preserve"> </w:t>
      </w:r>
      <w:r w:rsidRPr="006214E9">
        <w:t>provided as separate files:</w:t>
      </w:r>
    </w:p>
    <w:p w14:paraId="4B817CF7" w14:textId="0BCECD0A" w:rsidR="00B76C78" w:rsidRPr="006214E9" w:rsidRDefault="00B76C78" w:rsidP="00650FD8">
      <w:pPr>
        <w:pStyle w:val="Listaszerbekezds"/>
        <w:numPr>
          <w:ilvl w:val="0"/>
          <w:numId w:val="4"/>
        </w:numPr>
        <w:spacing w:before="240"/>
        <w:ind w:left="714" w:hanging="357"/>
        <w:contextualSpacing w:val="0"/>
        <w:rPr>
          <w:i/>
          <w:iCs/>
        </w:rPr>
      </w:pPr>
      <w:r w:rsidRPr="00F22BCF">
        <w:rPr>
          <w:i/>
          <w:iCs/>
          <w:highlight w:val="yellow"/>
        </w:rPr>
        <w:t>example DoC.</w:t>
      </w:r>
      <w:r w:rsidRPr="006214E9">
        <w:rPr>
          <w:i/>
          <w:iCs/>
        </w:rPr>
        <w:t>pdf</w:t>
      </w:r>
    </w:p>
    <w:p w14:paraId="41A3F602" w14:textId="24497C39" w:rsidR="00B76C78" w:rsidRDefault="00B76C78" w:rsidP="00B76C78">
      <w:pPr>
        <w:pStyle w:val="Listaszerbekezds"/>
        <w:numPr>
          <w:ilvl w:val="0"/>
          <w:numId w:val="4"/>
        </w:numPr>
        <w:spacing w:before="480"/>
        <w:rPr>
          <w:i/>
          <w:iCs/>
        </w:rPr>
      </w:pPr>
      <w:r w:rsidRPr="00F22BCF">
        <w:rPr>
          <w:i/>
          <w:iCs/>
          <w:highlight w:val="yellow"/>
        </w:rPr>
        <w:t>example DoC2</w:t>
      </w:r>
      <w:r w:rsidRPr="006214E9">
        <w:rPr>
          <w:i/>
          <w:iCs/>
        </w:rPr>
        <w:t>.pdf</w:t>
      </w:r>
    </w:p>
    <w:p w14:paraId="33B3A97D" w14:textId="77777777" w:rsidR="00650FD8" w:rsidRDefault="00650FD8" w:rsidP="00650FD8">
      <w:pPr>
        <w:pStyle w:val="Listaszerbekezds"/>
        <w:spacing w:before="240"/>
        <w:contextualSpacing w:val="0"/>
        <w:rPr>
          <w:i/>
          <w:iCs/>
        </w:rPr>
      </w:pPr>
    </w:p>
    <w:p w14:paraId="6B85EF37" w14:textId="60AB0D41" w:rsidR="00650FD8" w:rsidRDefault="00650FD8" w:rsidP="00650FD8">
      <w:pPr>
        <w:pStyle w:val="Kpalrs"/>
        <w:keepNext/>
        <w:jc w:val="center"/>
      </w:pPr>
      <w:r>
        <w:fldChar w:fldCharType="begin"/>
      </w:r>
      <w:r>
        <w:instrText xml:space="preserve"> SEQ Figure \* ARABIC </w:instrText>
      </w:r>
      <w:r>
        <w:fldChar w:fldCharType="separate"/>
      </w:r>
      <w:r>
        <w:rPr>
          <w:noProof/>
        </w:rPr>
        <w:t>2</w:t>
      </w:r>
      <w:r>
        <w:fldChar w:fldCharType="end"/>
      </w:r>
      <w:r>
        <w:t xml:space="preserve">. Figure: Template for the EU </w:t>
      </w:r>
      <w:proofErr w:type="spellStart"/>
      <w:r>
        <w:t>DoC</w:t>
      </w:r>
      <w:proofErr w:type="spellEnd"/>
    </w:p>
    <w:p w14:paraId="7ED4D7A4" w14:textId="7E292422" w:rsidR="00650FD8" w:rsidRPr="00650FD8" w:rsidRDefault="00650FD8" w:rsidP="00650FD8">
      <w:pPr>
        <w:spacing w:before="480"/>
        <w:jc w:val="center"/>
        <w:rPr>
          <w:i/>
          <w:iCs/>
        </w:rPr>
      </w:pPr>
      <w:r w:rsidRPr="00650FD8">
        <w:rPr>
          <w:i/>
          <w:iCs/>
          <w:noProof/>
        </w:rPr>
        <w:drawing>
          <wp:inline distT="0" distB="0" distL="0" distR="0" wp14:anchorId="0B5C3A92" wp14:editId="4CA12A91">
            <wp:extent cx="4519290" cy="5585460"/>
            <wp:effectExtent l="0" t="0" r="0" b="0"/>
            <wp:docPr id="1084434707" name="Kép 1" descr="A képen szöveg, Betűtípus, levél,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34707" name="Kép 1" descr="A képen szöveg, Betűtípus, levél, képernyőkép látható&#10;&#10;Automatikusan generált leírás"/>
                    <pic:cNvPicPr/>
                  </pic:nvPicPr>
                  <pic:blipFill>
                    <a:blip r:embed="rId9"/>
                    <a:stretch>
                      <a:fillRect/>
                    </a:stretch>
                  </pic:blipFill>
                  <pic:spPr>
                    <a:xfrm>
                      <a:off x="0" y="0"/>
                      <a:ext cx="4519290" cy="5585460"/>
                    </a:xfrm>
                    <a:prstGeom prst="rect">
                      <a:avLst/>
                    </a:prstGeom>
                  </pic:spPr>
                </pic:pic>
              </a:graphicData>
            </a:graphic>
          </wp:inline>
        </w:drawing>
      </w:r>
    </w:p>
    <w:p w14:paraId="3F079037" w14:textId="1F0189E7" w:rsidR="00B76C78" w:rsidRDefault="00B76C78">
      <w:pPr>
        <w:spacing w:after="160" w:line="259" w:lineRule="auto"/>
        <w:jc w:val="left"/>
      </w:pPr>
      <w:r>
        <w:br w:type="page"/>
      </w:r>
    </w:p>
    <w:p w14:paraId="3A724D6E" w14:textId="1AE23AAB" w:rsidR="008A79BF" w:rsidRDefault="008A79BF" w:rsidP="008A79BF">
      <w:pPr>
        <w:pStyle w:val="Cmsor3"/>
      </w:pPr>
      <w:bookmarkStart w:id="5" w:name="_Toc194918372"/>
      <w:r>
        <w:lastRenderedPageBreak/>
        <w:t>(d) Manufacturing process</w:t>
      </w:r>
      <w:bookmarkEnd w:id="5"/>
    </w:p>
    <w:p w14:paraId="19142DA0" w14:textId="15BACDB5" w:rsidR="00B76C78" w:rsidRDefault="008A79BF" w:rsidP="008A79BF">
      <w:pPr>
        <w:spacing w:before="240"/>
        <w:rPr>
          <w:b/>
          <w:bCs/>
        </w:rPr>
      </w:pPr>
      <w:r w:rsidRPr="008A79BF">
        <w:rPr>
          <w:b/>
          <w:bCs/>
        </w:rPr>
        <w:t>Drawings, schemes, descriptions, and explanations necessary for the understanding of the manufacturing process of the EU fertilising product.</w:t>
      </w:r>
    </w:p>
    <w:p w14:paraId="1A450C20" w14:textId="276D35CC" w:rsidR="008A79BF" w:rsidRPr="00947F37" w:rsidRDefault="008A79BF" w:rsidP="008A5918">
      <w:pPr>
        <w:spacing w:before="240" w:after="600"/>
        <w:rPr>
          <w:i/>
          <w:iCs/>
        </w:rPr>
      </w:pPr>
      <w:r w:rsidRPr="00947F37">
        <w:rPr>
          <w:i/>
          <w:iCs/>
        </w:rPr>
        <w:t xml:space="preserve">A short description of the manufacturing technology or a schematic figure of the manufacturing process </w:t>
      </w:r>
      <w:proofErr w:type="gramStart"/>
      <w:r w:rsidRPr="00947F37">
        <w:rPr>
          <w:i/>
          <w:iCs/>
        </w:rPr>
        <w:t>has to</w:t>
      </w:r>
      <w:proofErr w:type="gramEnd"/>
      <w:r w:rsidRPr="00947F37">
        <w:rPr>
          <w:i/>
          <w:iCs/>
        </w:rPr>
        <w:t xml:space="preserve"> be attached. It is also essential to highlight all those manufacturing steps</w:t>
      </w:r>
      <w:r w:rsidR="00344808">
        <w:rPr>
          <w:i/>
          <w:iCs/>
        </w:rPr>
        <w:t xml:space="preserve"> (</w:t>
      </w:r>
      <w:r w:rsidR="00344808" w:rsidRPr="00344808">
        <w:rPr>
          <w:i/>
          <w:iCs/>
        </w:rPr>
        <w:t>covering in detail the pressure, temperature and duration of the treatments</w:t>
      </w:r>
      <w:r w:rsidR="00344808">
        <w:rPr>
          <w:i/>
          <w:iCs/>
        </w:rPr>
        <w:t>)</w:t>
      </w:r>
      <w:r w:rsidRPr="00947F37">
        <w:rPr>
          <w:i/>
          <w:iCs/>
        </w:rPr>
        <w:t xml:space="preserve"> that could result from either chemical reaction(s) among ingredients or determining into which CMC a component belongs.</w:t>
      </w:r>
    </w:p>
    <w:p w14:paraId="130F7FAC" w14:textId="0B32FA55" w:rsidR="00EE4E6A" w:rsidRDefault="00EE4E6A" w:rsidP="00EE4E6A">
      <w:pPr>
        <w:spacing w:before="240"/>
      </w:pPr>
      <w:r>
        <w:t>For products with materials belonging to CMCs 3, 5, 12, 13, 14 or 15 a written description and a diagram of the production or recovery process, where each treatment, storage vessel, and area is clearly identified.</w:t>
      </w:r>
    </w:p>
    <w:p w14:paraId="21471E3E" w14:textId="54A1ABB8" w:rsidR="008A5918" w:rsidRDefault="00EE4E6A" w:rsidP="00EE4E6A">
      <w:pPr>
        <w:spacing w:before="240"/>
      </w:pPr>
      <w:r>
        <w:t>For products containing or consisting of CMC 13 material, hazardous waste calculations should be included.</w:t>
      </w:r>
    </w:p>
    <w:p w14:paraId="30F077C0" w14:textId="1C72425E" w:rsidR="00ED444E" w:rsidRDefault="00ED444E">
      <w:pPr>
        <w:spacing w:after="160" w:line="259" w:lineRule="auto"/>
        <w:jc w:val="left"/>
      </w:pPr>
      <w:r>
        <w:br w:type="page"/>
      </w:r>
    </w:p>
    <w:p w14:paraId="3616D0EE" w14:textId="0D9D0AB8" w:rsidR="00ED444E" w:rsidRDefault="00ED444E" w:rsidP="00ED444E">
      <w:pPr>
        <w:pStyle w:val="Cmsor3"/>
      </w:pPr>
      <w:bookmarkStart w:id="6" w:name="_Toc194918373"/>
      <w:r>
        <w:lastRenderedPageBreak/>
        <w:t xml:space="preserve">(e) </w:t>
      </w:r>
      <w:r w:rsidRPr="00ED444E">
        <w:t>Label or leaflet specimen(s)</w:t>
      </w:r>
      <w:bookmarkEnd w:id="6"/>
    </w:p>
    <w:p w14:paraId="6668DC80" w14:textId="7A9BA602" w:rsidR="008A79BF" w:rsidRPr="00947F37" w:rsidRDefault="00ED444E" w:rsidP="00ED444E">
      <w:pPr>
        <w:spacing w:before="240"/>
        <w:rPr>
          <w:i/>
          <w:iCs/>
        </w:rPr>
      </w:pPr>
      <w:r w:rsidRPr="00947F37">
        <w:rPr>
          <w:i/>
          <w:iCs/>
        </w:rPr>
        <w:t>A specimen of the label or the leaflet, or both, referred to in Article 6(7) containing the information required in accordance with Annex III of (EU) No. 2019/1009 Regulation.</w:t>
      </w:r>
    </w:p>
    <w:p w14:paraId="5AF1F7E8" w14:textId="77777777" w:rsidR="00ED444E" w:rsidRPr="00947F37" w:rsidRDefault="00ED444E" w:rsidP="00ED444E">
      <w:pPr>
        <w:rPr>
          <w:i/>
          <w:iCs/>
        </w:rPr>
      </w:pPr>
      <w:r w:rsidRPr="00947F37">
        <w:rPr>
          <w:i/>
          <w:iCs/>
        </w:rPr>
        <w:t>Labels draft or leaflets shall be provided according to the EU document of the visual appearance of the label on EU fertilising products, which is available online:</w:t>
      </w:r>
    </w:p>
    <w:p w14:paraId="7908A013" w14:textId="0FC054A1" w:rsidR="00ED444E" w:rsidRDefault="00ED444E" w:rsidP="008A5918">
      <w:pPr>
        <w:spacing w:before="240" w:after="600"/>
        <w:rPr>
          <w:rStyle w:val="Hiperhivatkozs"/>
          <w:sz w:val="20"/>
        </w:rPr>
      </w:pPr>
      <w:hyperlink r:id="rId10" w:history="1">
        <w:r w:rsidRPr="00145F5C">
          <w:rPr>
            <w:rStyle w:val="Hiperhivatkozs"/>
            <w:sz w:val="20"/>
          </w:rPr>
          <w:t>https://eur-lex.europa.eu/legal-content/EN/TXT/?uri=uriserv:OJ.C_.2021.119.01.0001.01.ENG</w:t>
        </w:r>
      </w:hyperlink>
    </w:p>
    <w:p w14:paraId="79839196" w14:textId="688BB3FF" w:rsidR="00801269" w:rsidRDefault="00801269" w:rsidP="00801269">
      <w:pPr>
        <w:spacing w:before="480"/>
      </w:pPr>
      <w:r>
        <w:t xml:space="preserve">The label or leaflet </w:t>
      </w:r>
      <w:r w:rsidR="00270EBC">
        <w:t>may be</w:t>
      </w:r>
      <w:r>
        <w:t xml:space="preserve"> </w:t>
      </w:r>
      <w:r w:rsidRPr="006214E9">
        <w:t>provided as separate files:</w:t>
      </w:r>
    </w:p>
    <w:p w14:paraId="47752C7D" w14:textId="5EE58DE5" w:rsidR="00801269" w:rsidRPr="006214E9" w:rsidRDefault="00801269" w:rsidP="00801269">
      <w:pPr>
        <w:pStyle w:val="Listaszerbekezds"/>
        <w:spacing w:before="480"/>
        <w:rPr>
          <w:i/>
          <w:iCs/>
        </w:rPr>
      </w:pPr>
      <w:r w:rsidRPr="00F22BCF">
        <w:rPr>
          <w:i/>
          <w:iCs/>
          <w:highlight w:val="yellow"/>
        </w:rPr>
        <w:t xml:space="preserve">example </w:t>
      </w:r>
      <w:r>
        <w:rPr>
          <w:i/>
          <w:iCs/>
          <w:highlight w:val="yellow"/>
        </w:rPr>
        <w:t>label</w:t>
      </w:r>
      <w:r w:rsidRPr="00F22BCF">
        <w:rPr>
          <w:i/>
          <w:iCs/>
          <w:highlight w:val="yellow"/>
        </w:rPr>
        <w:t>.</w:t>
      </w:r>
      <w:r w:rsidRPr="006214E9">
        <w:rPr>
          <w:i/>
          <w:iCs/>
        </w:rPr>
        <w:t>pdf</w:t>
      </w:r>
    </w:p>
    <w:p w14:paraId="20A3FF59" w14:textId="77777777" w:rsidR="00430A50" w:rsidRDefault="00430A50" w:rsidP="00ED444E">
      <w:pPr>
        <w:spacing w:before="240"/>
        <w:rPr>
          <w:szCs w:val="22"/>
        </w:rPr>
      </w:pPr>
    </w:p>
    <w:p w14:paraId="0394474D" w14:textId="6A7FFB1C" w:rsidR="00430A50" w:rsidRDefault="00430A50">
      <w:pPr>
        <w:spacing w:after="160" w:line="259" w:lineRule="auto"/>
        <w:jc w:val="left"/>
        <w:rPr>
          <w:szCs w:val="22"/>
        </w:rPr>
      </w:pPr>
      <w:r>
        <w:rPr>
          <w:szCs w:val="22"/>
        </w:rPr>
        <w:br w:type="page"/>
      </w:r>
    </w:p>
    <w:p w14:paraId="4AD14C78" w14:textId="63A6DA78" w:rsidR="00430A50" w:rsidRDefault="008A5918" w:rsidP="008A5918">
      <w:pPr>
        <w:pStyle w:val="Cmsor3"/>
      </w:pPr>
      <w:bookmarkStart w:id="7" w:name="_Toc194918374"/>
      <w:r>
        <w:lastRenderedPageBreak/>
        <w:t>(</w:t>
      </w:r>
      <w:r w:rsidRPr="008A5918">
        <w:t>f) A list of the harmonised standards</w:t>
      </w:r>
      <w:bookmarkEnd w:id="7"/>
    </w:p>
    <w:p w14:paraId="178C607A" w14:textId="01A59D2F" w:rsidR="00947F37" w:rsidRPr="00947F37" w:rsidRDefault="00947F37" w:rsidP="00947F37">
      <w:pPr>
        <w:spacing w:before="360"/>
        <w:rPr>
          <w:i/>
          <w:iCs/>
        </w:rPr>
      </w:pPr>
      <w:r w:rsidRPr="00947F37">
        <w:rPr>
          <w:i/>
          <w:iCs/>
        </w:rPr>
        <w:t>Please highlight any European and national standards</w:t>
      </w:r>
      <w:r w:rsidR="00DD3BE1">
        <w:rPr>
          <w:i/>
          <w:iCs/>
        </w:rPr>
        <w:t>, industry standards</w:t>
      </w:r>
      <w:r w:rsidRPr="00947F37">
        <w:rPr>
          <w:i/>
          <w:iCs/>
        </w:rPr>
        <w:t xml:space="preserve"> or own methods (if any), which have been applied during the design/analysis of the product.</w:t>
      </w:r>
    </w:p>
    <w:p w14:paraId="66790DB1" w14:textId="77777777" w:rsidR="00270EBC" w:rsidRDefault="00947F37" w:rsidP="00270EBC">
      <w:pPr>
        <w:spacing w:after="600"/>
        <w:rPr>
          <w:i/>
          <w:iCs/>
        </w:rPr>
      </w:pPr>
      <w:r w:rsidRPr="00947F37">
        <w:rPr>
          <w:i/>
          <w:iCs/>
        </w:rPr>
        <w:t>In the event of partly applied harmonised standards or common specifications, clearly state which part was used.</w:t>
      </w:r>
    </w:p>
    <w:p w14:paraId="1C71AAFA" w14:textId="7392EC1D" w:rsidR="004F67FE" w:rsidRPr="004F67FE" w:rsidRDefault="004F67FE" w:rsidP="00270EBC">
      <w:pPr>
        <w:spacing w:after="600"/>
        <w:rPr>
          <w:i/>
          <w:iCs/>
        </w:rPr>
      </w:pPr>
      <w:r w:rsidRPr="004F67FE">
        <w:rPr>
          <w:i/>
          <w:iCs/>
          <w:highlight w:val="yellow"/>
        </w:rPr>
        <w:t>or, if applicable:</w:t>
      </w:r>
    </w:p>
    <w:p w14:paraId="55D1B48A" w14:textId="1ADC9CA2" w:rsidR="00947F37" w:rsidRDefault="004F67FE" w:rsidP="00947F37">
      <w:pPr>
        <w:spacing w:before="360"/>
      </w:pPr>
      <w:r w:rsidRPr="004F67FE">
        <w:t>A declaration of compliance with this criterion: applied harmonised standards or common specifications are enclosed with the laboratory results.</w:t>
      </w:r>
    </w:p>
    <w:p w14:paraId="58C5203A" w14:textId="72D538C9" w:rsidR="00947F37" w:rsidRDefault="00947F37">
      <w:pPr>
        <w:spacing w:after="160" w:line="259" w:lineRule="auto"/>
        <w:jc w:val="left"/>
      </w:pPr>
      <w:r>
        <w:br w:type="page"/>
      </w:r>
    </w:p>
    <w:p w14:paraId="78F07A71" w14:textId="5E3D6EAE" w:rsidR="00947F37" w:rsidRDefault="002620EC" w:rsidP="002620EC">
      <w:pPr>
        <w:pStyle w:val="Cmsor3"/>
      </w:pPr>
      <w:bookmarkStart w:id="8" w:name="_Toc194918375"/>
      <w:r w:rsidRPr="002620EC">
        <w:lastRenderedPageBreak/>
        <w:t xml:space="preserve">(g) </w:t>
      </w:r>
      <w:r w:rsidR="00410365" w:rsidRPr="00410365">
        <w:t>Results of calculations, examinations carried out, etc</w:t>
      </w:r>
      <w:bookmarkEnd w:id="8"/>
    </w:p>
    <w:p w14:paraId="48A1EF25" w14:textId="0760361C" w:rsidR="002E5CED" w:rsidRPr="002620EC" w:rsidRDefault="002620EC" w:rsidP="002E5CED">
      <w:pPr>
        <w:spacing w:before="240" w:after="120"/>
        <w:rPr>
          <w:i/>
          <w:iCs/>
        </w:rPr>
      </w:pPr>
      <w:r w:rsidRPr="002620EC">
        <w:rPr>
          <w:i/>
          <w:iCs/>
        </w:rPr>
        <w:t>Results of calculations made, including the calculations to demonstrate conformity with point 5 of Part II of Annex I, examinations carried out, etc.</w:t>
      </w:r>
      <w:r w:rsidR="00C714EA">
        <w:rPr>
          <w:i/>
          <w:iCs/>
        </w:rPr>
        <w:t xml:space="preserve">, </w:t>
      </w:r>
      <w:r w:rsidR="00C714EA" w:rsidRPr="00C714EA">
        <w:rPr>
          <w:b/>
          <w:bCs/>
          <w:i/>
          <w:iCs/>
        </w:rPr>
        <w:t>if applicable</w:t>
      </w:r>
      <w:r w:rsidR="00C714EA">
        <w:rPr>
          <w:i/>
          <w:iCs/>
        </w:rPr>
        <w:t>.</w:t>
      </w:r>
    </w:p>
    <w:p w14:paraId="58F24999" w14:textId="77777777" w:rsidR="002620EC" w:rsidRPr="002620EC" w:rsidRDefault="002620EC" w:rsidP="002E5CED">
      <w:pPr>
        <w:spacing w:after="120"/>
        <w:rPr>
          <w:i/>
          <w:iCs/>
        </w:rPr>
      </w:pPr>
      <w:r w:rsidRPr="002620EC">
        <w:rPr>
          <w:i/>
          <w:iCs/>
        </w:rPr>
        <w:t xml:space="preserve">Residues of a pharmacologically active substance within the meaning of Regulation (EC) No 470/2009 may be present in an EU fertilising product when its type and volume is accordance with the (EU) No. 2019/1009 Regulation with point 5 of Part II of Annex I. It is mandatory to give detailed information and calculation of the values. If this point does not apply to the EU fertilizer product, the manufacturer shall submit a declaration document regarding this point (g) is not applicable. </w:t>
      </w:r>
    </w:p>
    <w:p w14:paraId="61FE56FC" w14:textId="77777777" w:rsidR="002620EC" w:rsidRDefault="002620EC" w:rsidP="002E5CED">
      <w:pPr>
        <w:spacing w:after="120"/>
        <w:rPr>
          <w:i/>
          <w:iCs/>
        </w:rPr>
      </w:pPr>
      <w:r w:rsidRPr="002620EC">
        <w:rPr>
          <w:i/>
          <w:iCs/>
        </w:rPr>
        <w:t>Furthermore, any further relevant calculations, that were completed during the design phase of the product, could be also submitted as a part of the Technical Documentation.</w:t>
      </w:r>
    </w:p>
    <w:p w14:paraId="23441CD7" w14:textId="3F45CF66" w:rsidR="00BD2144" w:rsidRPr="002620EC" w:rsidRDefault="00BD2144" w:rsidP="002E5CED">
      <w:pPr>
        <w:spacing w:after="120"/>
        <w:rPr>
          <w:i/>
          <w:iCs/>
        </w:rPr>
      </w:pPr>
      <w:r>
        <w:rPr>
          <w:i/>
          <w:iCs/>
        </w:rPr>
        <w:t xml:space="preserve">For products containing or consisting of CMC10 materials, the TD must include the </w:t>
      </w:r>
      <w:r w:rsidRPr="00BD2144">
        <w:rPr>
          <w:i/>
          <w:iCs/>
        </w:rPr>
        <w:t>pesticide residue calculation</w:t>
      </w:r>
      <w:r>
        <w:rPr>
          <w:i/>
          <w:iCs/>
        </w:rPr>
        <w:t>.</w:t>
      </w:r>
    </w:p>
    <w:p w14:paraId="0AC1812B" w14:textId="755BEAAB" w:rsidR="002620EC" w:rsidRDefault="002620EC" w:rsidP="002620EC">
      <w:pPr>
        <w:spacing w:after="600"/>
        <w:rPr>
          <w:i/>
          <w:iCs/>
        </w:rPr>
      </w:pPr>
      <w:r w:rsidRPr="002620EC">
        <w:rPr>
          <w:i/>
          <w:iCs/>
        </w:rPr>
        <w:t>For products containing or consisting of CMC 13 materials, the TD must include the calculation on the removal of the hazardous property during the production process.</w:t>
      </w:r>
    </w:p>
    <w:p w14:paraId="0485A3E2" w14:textId="16DFA5A5" w:rsidR="00C714EA" w:rsidRDefault="00270EBC" w:rsidP="002620EC">
      <w:pPr>
        <w:spacing w:after="600"/>
        <w:rPr>
          <w:i/>
          <w:iCs/>
        </w:rPr>
      </w:pPr>
      <w:r>
        <w:rPr>
          <w:i/>
          <w:iCs/>
        </w:rPr>
        <w:t>The list must include the technical parameters, results and r</w:t>
      </w:r>
      <w:r w:rsidRPr="00270EBC">
        <w:rPr>
          <w:i/>
          <w:iCs/>
        </w:rPr>
        <w:t>equirements laid down in the Reg. (EU) 2019/1009</w:t>
      </w:r>
      <w:r>
        <w:rPr>
          <w:i/>
          <w:iCs/>
        </w:rPr>
        <w:t>.</w:t>
      </w:r>
    </w:p>
    <w:tbl>
      <w:tblPr>
        <w:tblStyle w:val="Rcsostblzat"/>
        <w:tblW w:w="0" w:type="auto"/>
        <w:tblLook w:val="04A0" w:firstRow="1" w:lastRow="0" w:firstColumn="1" w:lastColumn="0" w:noHBand="0" w:noVBand="1"/>
      </w:tblPr>
      <w:tblGrid>
        <w:gridCol w:w="3020"/>
        <w:gridCol w:w="3021"/>
        <w:gridCol w:w="3021"/>
      </w:tblGrid>
      <w:tr w:rsidR="002620EC" w14:paraId="29CD10D5" w14:textId="77777777" w:rsidTr="002620EC">
        <w:tc>
          <w:tcPr>
            <w:tcW w:w="3020" w:type="dxa"/>
          </w:tcPr>
          <w:p w14:paraId="20D2960C" w14:textId="71CE3E22" w:rsidR="002620EC" w:rsidRPr="002620EC" w:rsidRDefault="002620EC" w:rsidP="002620EC">
            <w:pPr>
              <w:rPr>
                <w:b/>
                <w:bCs/>
              </w:rPr>
            </w:pPr>
            <w:r>
              <w:rPr>
                <w:b/>
                <w:bCs/>
              </w:rPr>
              <w:t>Technical parameter</w:t>
            </w:r>
          </w:p>
        </w:tc>
        <w:tc>
          <w:tcPr>
            <w:tcW w:w="3021" w:type="dxa"/>
          </w:tcPr>
          <w:p w14:paraId="49D3173C" w14:textId="3B2C96A6" w:rsidR="002620EC" w:rsidRPr="002620EC" w:rsidRDefault="002620EC" w:rsidP="002620EC">
            <w:pPr>
              <w:rPr>
                <w:b/>
                <w:bCs/>
              </w:rPr>
            </w:pPr>
            <w:r>
              <w:rPr>
                <w:b/>
                <w:bCs/>
              </w:rPr>
              <w:t>Results</w:t>
            </w:r>
          </w:p>
        </w:tc>
        <w:tc>
          <w:tcPr>
            <w:tcW w:w="3021" w:type="dxa"/>
          </w:tcPr>
          <w:p w14:paraId="422F4093" w14:textId="5AA80EA5" w:rsidR="002620EC" w:rsidRPr="002620EC" w:rsidRDefault="002620EC" w:rsidP="002620EC">
            <w:pPr>
              <w:rPr>
                <w:b/>
                <w:bCs/>
              </w:rPr>
            </w:pPr>
            <w:r w:rsidRPr="002620EC">
              <w:rPr>
                <w:b/>
                <w:bCs/>
              </w:rPr>
              <w:t>Requirements laid down in the</w:t>
            </w:r>
            <w:r>
              <w:rPr>
                <w:b/>
                <w:bCs/>
              </w:rPr>
              <w:t xml:space="preserve"> </w:t>
            </w:r>
            <w:r w:rsidRPr="002620EC">
              <w:rPr>
                <w:b/>
                <w:bCs/>
              </w:rPr>
              <w:t>Reg. (EU) 2019/1009</w:t>
            </w:r>
          </w:p>
        </w:tc>
      </w:tr>
      <w:tr w:rsidR="002620EC" w14:paraId="34542682" w14:textId="77777777" w:rsidTr="002620EC">
        <w:tc>
          <w:tcPr>
            <w:tcW w:w="3020" w:type="dxa"/>
          </w:tcPr>
          <w:p w14:paraId="3B0B9585" w14:textId="77777777" w:rsidR="002620EC" w:rsidRDefault="002620EC" w:rsidP="002620EC"/>
        </w:tc>
        <w:tc>
          <w:tcPr>
            <w:tcW w:w="3021" w:type="dxa"/>
          </w:tcPr>
          <w:p w14:paraId="4673D680" w14:textId="77777777" w:rsidR="002620EC" w:rsidRDefault="002620EC" w:rsidP="002620EC"/>
        </w:tc>
        <w:tc>
          <w:tcPr>
            <w:tcW w:w="3021" w:type="dxa"/>
          </w:tcPr>
          <w:p w14:paraId="64F8B567" w14:textId="77777777" w:rsidR="002620EC" w:rsidRDefault="002620EC" w:rsidP="002620EC"/>
        </w:tc>
      </w:tr>
    </w:tbl>
    <w:p w14:paraId="2B7B60BB" w14:textId="77777777" w:rsidR="002620EC" w:rsidRDefault="002620EC" w:rsidP="002620EC">
      <w:pPr>
        <w:spacing w:before="600"/>
      </w:pPr>
    </w:p>
    <w:p w14:paraId="5AF8A458" w14:textId="0FC59784" w:rsidR="002620EC" w:rsidRDefault="002620EC">
      <w:pPr>
        <w:spacing w:after="160" w:line="259" w:lineRule="auto"/>
        <w:jc w:val="left"/>
      </w:pPr>
      <w:r>
        <w:br w:type="page"/>
      </w:r>
    </w:p>
    <w:p w14:paraId="2A526ABC" w14:textId="49ECBE93" w:rsidR="002620EC" w:rsidRDefault="005E306B" w:rsidP="005E306B">
      <w:pPr>
        <w:pStyle w:val="Cmsor3"/>
      </w:pPr>
      <w:bookmarkStart w:id="9" w:name="_Toc194918376"/>
      <w:r w:rsidRPr="005E306B">
        <w:lastRenderedPageBreak/>
        <w:t>(h) Test reports</w:t>
      </w:r>
      <w:bookmarkEnd w:id="9"/>
    </w:p>
    <w:p w14:paraId="1F479672" w14:textId="6D6E13D4" w:rsidR="005E306B" w:rsidRPr="005E306B" w:rsidRDefault="005E306B" w:rsidP="005E306B">
      <w:pPr>
        <w:spacing w:before="240"/>
        <w:rPr>
          <w:i/>
          <w:iCs/>
          <w:u w:val="single"/>
        </w:rPr>
      </w:pPr>
      <w:r w:rsidRPr="005E306B">
        <w:rPr>
          <w:i/>
          <w:iCs/>
          <w:u w:val="single"/>
        </w:rPr>
        <w:t xml:space="preserve">1. General requirements and specific requirements for PFC </w:t>
      </w:r>
      <w:r w:rsidRPr="005E306B">
        <w:rPr>
          <w:i/>
          <w:iCs/>
          <w:highlight w:val="yellow"/>
          <w:u w:val="single"/>
        </w:rPr>
        <w:t>xx</w:t>
      </w:r>
    </w:p>
    <w:p w14:paraId="48E6B8BA" w14:textId="56498F76" w:rsidR="0092370E" w:rsidRPr="00FA2924" w:rsidRDefault="0092370E" w:rsidP="0092370E">
      <w:pPr>
        <w:spacing w:before="120" w:after="120"/>
        <w:rPr>
          <w:i/>
          <w:iCs/>
        </w:rPr>
      </w:pPr>
      <w:r w:rsidRPr="00FA2924">
        <w:rPr>
          <w:i/>
          <w:iCs/>
        </w:rPr>
        <w:t xml:space="preserve">The results of the calculations </w:t>
      </w:r>
      <w:proofErr w:type="gramStart"/>
      <w:r w:rsidRPr="00FA2924">
        <w:rPr>
          <w:i/>
          <w:iCs/>
        </w:rPr>
        <w:t>made</w:t>
      </w:r>
      <w:proofErr w:type="gramEnd"/>
      <w:r w:rsidRPr="00FA2924">
        <w:rPr>
          <w:i/>
          <w:iCs/>
        </w:rPr>
        <w:t xml:space="preserve"> and examinations carried out should be supported by the test reports of the analyses, trials, or reviews carried out on the product and its components to demonstrate conformity with the requirements of Annex I (PFC) and Annex II (CMCs).</w:t>
      </w:r>
    </w:p>
    <w:p w14:paraId="0CA25B07" w14:textId="5C0863BA" w:rsidR="003558F7" w:rsidRPr="00FA2924" w:rsidRDefault="005E306B" w:rsidP="0092370E">
      <w:pPr>
        <w:spacing w:before="120" w:after="120"/>
        <w:rPr>
          <w:i/>
          <w:iCs/>
        </w:rPr>
      </w:pPr>
      <w:r w:rsidRPr="00FA2924">
        <w:rPr>
          <w:i/>
          <w:iCs/>
        </w:rPr>
        <w:t>If a manufacturer has any own product analysis, or test report(s), it could be also attached to the Technical Documentation.</w:t>
      </w:r>
    </w:p>
    <w:p w14:paraId="3D227C29" w14:textId="6C60D829" w:rsidR="0092370E" w:rsidRPr="00FA2924" w:rsidRDefault="0092370E" w:rsidP="0092370E">
      <w:pPr>
        <w:spacing w:after="120"/>
        <w:rPr>
          <w:i/>
          <w:iCs/>
        </w:rPr>
      </w:pPr>
      <w:r w:rsidRPr="00FA2924">
        <w:rPr>
          <w:i/>
          <w:iCs/>
        </w:rPr>
        <w:t>If the manufacturer has its own laboratory, it will be checked during audits.</w:t>
      </w:r>
    </w:p>
    <w:p w14:paraId="6B28B7F7" w14:textId="17D4CE63" w:rsidR="007017DB" w:rsidRPr="00FA2924" w:rsidRDefault="007017DB" w:rsidP="00B46C17">
      <w:pPr>
        <w:spacing w:after="120"/>
        <w:rPr>
          <w:i/>
          <w:iCs/>
        </w:rPr>
      </w:pPr>
      <w:r w:rsidRPr="00FA2924">
        <w:rPr>
          <w:i/>
          <w:iCs/>
        </w:rPr>
        <w:t>For products containing or consisting of CMC 13 materials the test should be done at least every year, or sooner than scheduled in case of any significant change that may affect the safety or quality of the EU fertilising product. For example, processing input material batches of different compositions or modifying process conditions.</w:t>
      </w:r>
    </w:p>
    <w:p w14:paraId="2AE185E9" w14:textId="77777777" w:rsidR="007017DB" w:rsidRPr="00FA2924" w:rsidRDefault="007017DB" w:rsidP="007017DB"/>
    <w:p w14:paraId="14266AC8" w14:textId="77777777" w:rsidR="007017DB" w:rsidRPr="00FA2924" w:rsidRDefault="007017DB" w:rsidP="007017DB">
      <w:pPr>
        <w:rPr>
          <w:u w:val="single"/>
        </w:rPr>
      </w:pPr>
      <w:r w:rsidRPr="00FA2924">
        <w:rPr>
          <w:u w:val="single"/>
        </w:rPr>
        <w:t>Sampling:</w:t>
      </w:r>
    </w:p>
    <w:p w14:paraId="20DB2B70" w14:textId="0829363F" w:rsidR="007017DB" w:rsidRPr="00FA2924" w:rsidRDefault="00BD2C76" w:rsidP="007017DB">
      <w:pPr>
        <w:pStyle w:val="Listaszerbekezds"/>
        <w:numPr>
          <w:ilvl w:val="0"/>
          <w:numId w:val="10"/>
        </w:numPr>
        <w:spacing w:after="160" w:line="259" w:lineRule="auto"/>
      </w:pPr>
      <w:r w:rsidRPr="00FA2924">
        <w:t>Subsamples taken based on the sampling plan</w:t>
      </w:r>
      <w:r w:rsidR="007017DB" w:rsidRPr="00FA2924">
        <w:t xml:space="preserve"> must be mixed and form 4 laboratory samples.</w:t>
      </w:r>
    </w:p>
    <w:p w14:paraId="131E24AF" w14:textId="58BAB870" w:rsidR="007017DB" w:rsidRPr="00FA2924" w:rsidRDefault="007017DB" w:rsidP="007017DB">
      <w:pPr>
        <w:pStyle w:val="Listaszerbekezds"/>
        <w:numPr>
          <w:ilvl w:val="0"/>
          <w:numId w:val="11"/>
        </w:numPr>
        <w:spacing w:after="160" w:line="259" w:lineRule="auto"/>
        <w:ind w:left="1985"/>
      </w:pPr>
      <w:r w:rsidRPr="00FA2924">
        <w:t>Notified body’s sample (Please send it to the subcontractor laboratory on behalf of the notified body</w:t>
      </w:r>
      <w:r w:rsidR="0092370E" w:rsidRPr="00FA2924">
        <w:t>.),</w:t>
      </w:r>
    </w:p>
    <w:p w14:paraId="26B9C659" w14:textId="5CB76788" w:rsidR="0092370E" w:rsidRPr="00FA2924" w:rsidRDefault="007017DB" w:rsidP="0092370E">
      <w:pPr>
        <w:pStyle w:val="Listaszerbekezds"/>
        <w:numPr>
          <w:ilvl w:val="0"/>
          <w:numId w:val="11"/>
        </w:numPr>
        <w:spacing w:after="160" w:line="259" w:lineRule="auto"/>
        <w:ind w:left="1985"/>
      </w:pPr>
      <w:r w:rsidRPr="00FA2924">
        <w:t>Manufacturer’s sample</w:t>
      </w:r>
      <w:r w:rsidR="0092370E" w:rsidRPr="00FA2924">
        <w:t>,</w:t>
      </w:r>
    </w:p>
    <w:p w14:paraId="5DCA6AF7" w14:textId="030BC1F9" w:rsidR="007017DB" w:rsidRPr="00FA2924" w:rsidRDefault="003558F7" w:rsidP="003558F7">
      <w:pPr>
        <w:pStyle w:val="Listaszerbekezds"/>
        <w:numPr>
          <w:ilvl w:val="0"/>
          <w:numId w:val="11"/>
        </w:numPr>
        <w:spacing w:after="160" w:line="259" w:lineRule="auto"/>
        <w:ind w:left="1985"/>
      </w:pPr>
      <w:r w:rsidRPr="00FA2924">
        <w:t>Microbiological sample</w:t>
      </w:r>
      <w:r w:rsidR="0092370E" w:rsidRPr="00FA2924">
        <w:t>, if required (5 subsamples are necessary),</w:t>
      </w:r>
    </w:p>
    <w:p w14:paraId="39765D2C" w14:textId="751D20B4" w:rsidR="007017DB" w:rsidRDefault="007017DB" w:rsidP="007017DB">
      <w:pPr>
        <w:pStyle w:val="Listaszerbekezds"/>
        <w:numPr>
          <w:ilvl w:val="0"/>
          <w:numId w:val="11"/>
        </w:numPr>
        <w:spacing w:after="160" w:line="259" w:lineRule="auto"/>
        <w:ind w:left="1985"/>
      </w:pPr>
      <w:r w:rsidRPr="00723FEE">
        <w:t>Counter sample (preserving is the responsibility of the manufacturer)</w:t>
      </w:r>
      <w:r w:rsidR="0092370E">
        <w:t>.</w:t>
      </w:r>
    </w:p>
    <w:p w14:paraId="0CE139DA" w14:textId="77777777" w:rsidR="007017DB" w:rsidRDefault="007017DB" w:rsidP="007017DB">
      <w:pPr>
        <w:pStyle w:val="Listaszerbekezds"/>
        <w:numPr>
          <w:ilvl w:val="0"/>
          <w:numId w:val="10"/>
        </w:numPr>
        <w:spacing w:after="160" w:line="259" w:lineRule="auto"/>
      </w:pPr>
      <w:r>
        <w:t>The sample label includes:</w:t>
      </w:r>
    </w:p>
    <w:p w14:paraId="37752402" w14:textId="77777777" w:rsidR="007017DB" w:rsidRDefault="007017DB" w:rsidP="007017DB">
      <w:pPr>
        <w:pStyle w:val="Listaszerbekezds"/>
        <w:numPr>
          <w:ilvl w:val="1"/>
          <w:numId w:val="10"/>
        </w:numPr>
        <w:spacing w:after="160" w:line="259" w:lineRule="auto"/>
      </w:pPr>
      <w:r>
        <w:t>sampling date</w:t>
      </w:r>
    </w:p>
    <w:p w14:paraId="23F322F7" w14:textId="77777777" w:rsidR="007017DB" w:rsidRDefault="007017DB" w:rsidP="007017DB">
      <w:pPr>
        <w:pStyle w:val="Listaszerbekezds"/>
        <w:numPr>
          <w:ilvl w:val="1"/>
          <w:numId w:val="10"/>
        </w:numPr>
        <w:spacing w:after="160" w:line="259" w:lineRule="auto"/>
      </w:pPr>
      <w:r>
        <w:t>serial number of the sampling protocol</w:t>
      </w:r>
    </w:p>
    <w:p w14:paraId="41912716" w14:textId="77777777" w:rsidR="007017DB" w:rsidRDefault="007017DB" w:rsidP="007017DB">
      <w:pPr>
        <w:pStyle w:val="Listaszerbekezds"/>
        <w:numPr>
          <w:ilvl w:val="1"/>
          <w:numId w:val="10"/>
        </w:numPr>
        <w:spacing w:after="160" w:line="259" w:lineRule="auto"/>
      </w:pPr>
      <w:r>
        <w:t>sample indication and designation</w:t>
      </w:r>
    </w:p>
    <w:p w14:paraId="78954A29" w14:textId="77777777" w:rsidR="007017DB" w:rsidRDefault="007017DB" w:rsidP="007017DB">
      <w:pPr>
        <w:pStyle w:val="Listaszerbekezds"/>
        <w:numPr>
          <w:ilvl w:val="1"/>
          <w:numId w:val="10"/>
        </w:numPr>
        <w:spacing w:after="160" w:line="259" w:lineRule="auto"/>
      </w:pPr>
      <w:r>
        <w:t>batch number of the item</w:t>
      </w:r>
    </w:p>
    <w:p w14:paraId="2D387D39" w14:textId="6D8F83EA" w:rsidR="007017DB" w:rsidRPr="007017DB" w:rsidRDefault="007017DB" w:rsidP="00BD2C76">
      <w:pPr>
        <w:pStyle w:val="Listaszerbekezds"/>
        <w:numPr>
          <w:ilvl w:val="0"/>
          <w:numId w:val="10"/>
        </w:numPr>
        <w:spacing w:after="720" w:line="259" w:lineRule="auto"/>
        <w:ind w:left="1003" w:hanging="357"/>
      </w:pPr>
      <w:r w:rsidRPr="00D44504">
        <w:t xml:space="preserve">The required number of samples </w:t>
      </w:r>
      <w:r>
        <w:t xml:space="preserve">and the examined parameters </w:t>
      </w:r>
      <w:r w:rsidRPr="00D44504">
        <w:t>can be found in the FPR regulation</w:t>
      </w:r>
      <w:r>
        <w:t>.</w:t>
      </w:r>
    </w:p>
    <w:tbl>
      <w:tblPr>
        <w:tblStyle w:val="Rcsostblzat"/>
        <w:tblW w:w="0" w:type="auto"/>
        <w:tblLook w:val="04A0" w:firstRow="1" w:lastRow="0" w:firstColumn="1" w:lastColumn="0" w:noHBand="0" w:noVBand="1"/>
      </w:tblPr>
      <w:tblGrid>
        <w:gridCol w:w="4531"/>
        <w:gridCol w:w="4531"/>
      </w:tblGrid>
      <w:tr w:rsidR="005E306B" w14:paraId="6E26B8C9" w14:textId="77777777" w:rsidTr="005E306B">
        <w:tc>
          <w:tcPr>
            <w:tcW w:w="4531" w:type="dxa"/>
          </w:tcPr>
          <w:p w14:paraId="57A4D882" w14:textId="4EEF948E" w:rsidR="005E306B" w:rsidRPr="005E306B" w:rsidRDefault="005E306B" w:rsidP="005E306B">
            <w:pPr>
              <w:rPr>
                <w:b/>
                <w:bCs/>
              </w:rPr>
            </w:pPr>
            <w:r w:rsidRPr="005E306B">
              <w:rPr>
                <w:b/>
                <w:bCs/>
              </w:rPr>
              <w:t>Analysis</w:t>
            </w:r>
          </w:p>
        </w:tc>
        <w:tc>
          <w:tcPr>
            <w:tcW w:w="4531" w:type="dxa"/>
          </w:tcPr>
          <w:p w14:paraId="6A12CBF0" w14:textId="77777777" w:rsidR="005E306B" w:rsidRDefault="005E306B" w:rsidP="005E306B"/>
        </w:tc>
      </w:tr>
      <w:tr w:rsidR="005E306B" w14:paraId="2968B1C9" w14:textId="77777777" w:rsidTr="005E306B">
        <w:tc>
          <w:tcPr>
            <w:tcW w:w="4531" w:type="dxa"/>
          </w:tcPr>
          <w:p w14:paraId="5E8BE7DC" w14:textId="75D72F16" w:rsidR="005E306B" w:rsidRDefault="005E306B" w:rsidP="005E306B">
            <w:r>
              <w:t>C</w:t>
            </w:r>
            <w:r w:rsidRPr="005E306B">
              <w:t>ompositional data</w:t>
            </w:r>
          </w:p>
        </w:tc>
        <w:tc>
          <w:tcPr>
            <w:tcW w:w="4531" w:type="dxa"/>
          </w:tcPr>
          <w:p w14:paraId="384AD20B" w14:textId="465534CF" w:rsidR="005E306B" w:rsidRPr="005E306B" w:rsidRDefault="005E306B" w:rsidP="005E306B">
            <w:pPr>
              <w:rPr>
                <w:i/>
                <w:iCs/>
              </w:rPr>
            </w:pPr>
            <w:r w:rsidRPr="00F22BCF">
              <w:rPr>
                <w:i/>
                <w:iCs/>
                <w:highlight w:val="yellow"/>
              </w:rPr>
              <w:t>Compositional data</w:t>
            </w:r>
            <w:r w:rsidRPr="005E306B">
              <w:rPr>
                <w:i/>
                <w:iCs/>
              </w:rPr>
              <w:t>.pdf</w:t>
            </w:r>
          </w:p>
        </w:tc>
      </w:tr>
      <w:tr w:rsidR="005E306B" w14:paraId="4399CBB1" w14:textId="77777777" w:rsidTr="005E306B">
        <w:tc>
          <w:tcPr>
            <w:tcW w:w="4531" w:type="dxa"/>
          </w:tcPr>
          <w:p w14:paraId="307931EE" w14:textId="226FE817" w:rsidR="005E306B" w:rsidRDefault="005E306B" w:rsidP="005E306B">
            <w:r>
              <w:t>Heavy metals</w:t>
            </w:r>
          </w:p>
        </w:tc>
        <w:tc>
          <w:tcPr>
            <w:tcW w:w="4531" w:type="dxa"/>
          </w:tcPr>
          <w:p w14:paraId="347D3CFF" w14:textId="3FF6DC3A" w:rsidR="005E306B" w:rsidRPr="005E306B" w:rsidRDefault="005E306B" w:rsidP="005E306B">
            <w:pPr>
              <w:rPr>
                <w:i/>
                <w:iCs/>
              </w:rPr>
            </w:pPr>
            <w:r w:rsidRPr="00F22BCF">
              <w:rPr>
                <w:i/>
                <w:iCs/>
                <w:highlight w:val="yellow"/>
              </w:rPr>
              <w:t>Heavy metals</w:t>
            </w:r>
            <w:r>
              <w:rPr>
                <w:i/>
                <w:iCs/>
              </w:rPr>
              <w:t>.pdf</w:t>
            </w:r>
          </w:p>
        </w:tc>
      </w:tr>
      <w:tr w:rsidR="005E306B" w14:paraId="6A35ACA3" w14:textId="77777777" w:rsidTr="005E306B">
        <w:tc>
          <w:tcPr>
            <w:tcW w:w="4531" w:type="dxa"/>
          </w:tcPr>
          <w:p w14:paraId="7E2822F5" w14:textId="3271E9F3" w:rsidR="005E306B" w:rsidRDefault="005E306B" w:rsidP="005E306B">
            <w:r>
              <w:t>Pathogens</w:t>
            </w:r>
          </w:p>
        </w:tc>
        <w:tc>
          <w:tcPr>
            <w:tcW w:w="4531" w:type="dxa"/>
          </w:tcPr>
          <w:p w14:paraId="64D21327" w14:textId="40719022" w:rsidR="005E306B" w:rsidRPr="005E306B" w:rsidRDefault="005E306B" w:rsidP="005E306B">
            <w:pPr>
              <w:rPr>
                <w:i/>
                <w:iCs/>
              </w:rPr>
            </w:pPr>
            <w:r w:rsidRPr="00F22BCF">
              <w:rPr>
                <w:i/>
                <w:iCs/>
                <w:highlight w:val="yellow"/>
              </w:rPr>
              <w:t>Pathogens</w:t>
            </w:r>
            <w:r>
              <w:rPr>
                <w:i/>
                <w:iCs/>
              </w:rPr>
              <w:t>.pdf</w:t>
            </w:r>
          </w:p>
        </w:tc>
      </w:tr>
      <w:tr w:rsidR="005E306B" w14:paraId="5D82DDC3" w14:textId="77777777" w:rsidTr="005E306B">
        <w:tc>
          <w:tcPr>
            <w:tcW w:w="4531" w:type="dxa"/>
          </w:tcPr>
          <w:p w14:paraId="282CD184" w14:textId="1C421757" w:rsidR="005E306B" w:rsidRDefault="005E306B" w:rsidP="005E306B">
            <w:r>
              <w:t>Phosphonates</w:t>
            </w:r>
          </w:p>
        </w:tc>
        <w:tc>
          <w:tcPr>
            <w:tcW w:w="4531" w:type="dxa"/>
          </w:tcPr>
          <w:p w14:paraId="5A6E88CC" w14:textId="26F39DF9" w:rsidR="005E306B" w:rsidRPr="005E306B" w:rsidRDefault="005E306B" w:rsidP="005E306B">
            <w:pPr>
              <w:rPr>
                <w:i/>
                <w:iCs/>
              </w:rPr>
            </w:pPr>
            <w:r w:rsidRPr="00F22BCF">
              <w:rPr>
                <w:i/>
                <w:iCs/>
                <w:highlight w:val="yellow"/>
              </w:rPr>
              <w:t>Phosphonates.</w:t>
            </w:r>
            <w:r>
              <w:rPr>
                <w:i/>
                <w:iCs/>
              </w:rPr>
              <w:t>pdf</w:t>
            </w:r>
          </w:p>
        </w:tc>
      </w:tr>
    </w:tbl>
    <w:p w14:paraId="052BE103" w14:textId="77777777" w:rsidR="00BD2C76" w:rsidRDefault="00BD2C76" w:rsidP="00BD2C76">
      <w:pPr>
        <w:spacing w:before="600"/>
        <w:rPr>
          <w:i/>
          <w:iCs/>
          <w:u w:val="single"/>
        </w:rPr>
      </w:pPr>
    </w:p>
    <w:p w14:paraId="3529AE57" w14:textId="77777777" w:rsidR="00BD2C76" w:rsidRDefault="00BD2C76">
      <w:pPr>
        <w:spacing w:after="160" w:line="259" w:lineRule="auto"/>
        <w:jc w:val="left"/>
        <w:rPr>
          <w:i/>
          <w:iCs/>
          <w:u w:val="single"/>
        </w:rPr>
      </w:pPr>
      <w:r>
        <w:rPr>
          <w:i/>
          <w:iCs/>
          <w:u w:val="single"/>
        </w:rPr>
        <w:br w:type="page"/>
      </w:r>
    </w:p>
    <w:p w14:paraId="47CB67DD" w14:textId="7F63DD31" w:rsidR="005E306B" w:rsidRPr="005E306B" w:rsidRDefault="005E306B" w:rsidP="00BD2C76">
      <w:pPr>
        <w:spacing w:before="600"/>
        <w:rPr>
          <w:i/>
          <w:iCs/>
          <w:u w:val="single"/>
        </w:rPr>
      </w:pPr>
      <w:r>
        <w:rPr>
          <w:i/>
          <w:iCs/>
          <w:u w:val="single"/>
        </w:rPr>
        <w:lastRenderedPageBreak/>
        <w:t>2</w:t>
      </w:r>
      <w:r w:rsidRPr="005E306B">
        <w:rPr>
          <w:i/>
          <w:iCs/>
          <w:u w:val="single"/>
        </w:rPr>
        <w:t xml:space="preserve">. </w:t>
      </w:r>
      <w:proofErr w:type="spellStart"/>
      <w:r w:rsidRPr="005E306B">
        <w:rPr>
          <w:i/>
          <w:iCs/>
          <w:u w:val="single"/>
        </w:rPr>
        <w:t>Biostimulant</w:t>
      </w:r>
      <w:proofErr w:type="spellEnd"/>
      <w:r w:rsidRPr="005E306B">
        <w:rPr>
          <w:i/>
          <w:iCs/>
          <w:u w:val="single"/>
        </w:rPr>
        <w:t xml:space="preserve"> efficacy evaluation</w:t>
      </w:r>
    </w:p>
    <w:p w14:paraId="2D37E02B" w14:textId="0F1B4F71" w:rsidR="005E306B" w:rsidRDefault="005E306B" w:rsidP="00344808">
      <w:pPr>
        <w:spacing w:before="240"/>
        <w:rPr>
          <w:i/>
          <w:iCs/>
        </w:rPr>
      </w:pPr>
      <w:r w:rsidRPr="005E306B">
        <w:rPr>
          <w:i/>
          <w:iCs/>
        </w:rPr>
        <w:t xml:space="preserve">In </w:t>
      </w:r>
      <w:r>
        <w:rPr>
          <w:i/>
          <w:iCs/>
        </w:rPr>
        <w:t xml:space="preserve">the </w:t>
      </w:r>
      <w:r w:rsidRPr="005E306B">
        <w:rPr>
          <w:i/>
          <w:iCs/>
        </w:rPr>
        <w:t>case of biostimulants, the field trial reports shall be included in this point.</w:t>
      </w:r>
      <w:r w:rsidR="00344808">
        <w:rPr>
          <w:i/>
          <w:iCs/>
        </w:rPr>
        <w:t xml:space="preserve"> </w:t>
      </w:r>
      <w:r w:rsidR="00344808" w:rsidRPr="00344808">
        <w:rPr>
          <w:i/>
          <w:iCs/>
        </w:rPr>
        <w:t>The CEN/TS 17700-1 harmoni</w:t>
      </w:r>
      <w:r w:rsidR="00344808">
        <w:rPr>
          <w:i/>
          <w:iCs/>
        </w:rPr>
        <w:t>s</w:t>
      </w:r>
      <w:r w:rsidR="00344808" w:rsidRPr="00344808">
        <w:rPr>
          <w:i/>
          <w:iCs/>
        </w:rPr>
        <w:t xml:space="preserve">ed standard can be used to </w:t>
      </w:r>
      <w:r w:rsidR="00344808">
        <w:rPr>
          <w:i/>
          <w:iCs/>
        </w:rPr>
        <w:t>justify</w:t>
      </w:r>
      <w:r w:rsidR="00344808" w:rsidRPr="00344808">
        <w:rPr>
          <w:i/>
          <w:iCs/>
        </w:rPr>
        <w:t xml:space="preserve"> </w:t>
      </w:r>
      <w:proofErr w:type="spellStart"/>
      <w:r w:rsidR="00344808" w:rsidRPr="00344808">
        <w:rPr>
          <w:i/>
          <w:iCs/>
        </w:rPr>
        <w:t>biostimulant</w:t>
      </w:r>
      <w:proofErr w:type="spellEnd"/>
      <w:r w:rsidR="00344808" w:rsidRPr="00344808">
        <w:rPr>
          <w:i/>
          <w:iCs/>
        </w:rPr>
        <w:t xml:space="preserve"> claims</w:t>
      </w:r>
      <w:r w:rsidR="00BD2C76">
        <w:rPr>
          <w:i/>
          <w:iCs/>
        </w:rPr>
        <w:t>.</w:t>
      </w:r>
    </w:p>
    <w:p w14:paraId="3519E891" w14:textId="6FAC40DA" w:rsidR="00344808" w:rsidRPr="005E306B" w:rsidRDefault="00344808" w:rsidP="00344808">
      <w:pPr>
        <w:spacing w:after="600"/>
        <w:rPr>
          <w:i/>
          <w:iCs/>
        </w:rPr>
      </w:pPr>
      <w:r>
        <w:rPr>
          <w:i/>
          <w:iCs/>
        </w:rPr>
        <w:t>(</w:t>
      </w:r>
      <w:hyperlink r:id="rId11" w:history="1">
        <w:r w:rsidRPr="00D33F05">
          <w:rPr>
            <w:rStyle w:val="Hiperhivatkozs"/>
            <w:i/>
            <w:iCs/>
          </w:rPr>
          <w:t>https://shop.standards.ie/en-ie/search/standard/?searchTerm=The%20CEN/TS%2017700-1&amp;productFamily=STANDARD</w:t>
        </w:r>
      </w:hyperlink>
      <w:r>
        <w:rPr>
          <w:i/>
          <w:iCs/>
        </w:rPr>
        <w:t>).</w:t>
      </w:r>
    </w:p>
    <w:tbl>
      <w:tblPr>
        <w:tblStyle w:val="Rcsostblzat"/>
        <w:tblW w:w="0" w:type="auto"/>
        <w:tblLook w:val="04A0" w:firstRow="1" w:lastRow="0" w:firstColumn="1" w:lastColumn="0" w:noHBand="0" w:noVBand="1"/>
      </w:tblPr>
      <w:tblGrid>
        <w:gridCol w:w="9062"/>
      </w:tblGrid>
      <w:tr w:rsidR="006A42F5" w14:paraId="52C15BD4" w14:textId="77777777" w:rsidTr="006A42F5">
        <w:tc>
          <w:tcPr>
            <w:tcW w:w="9062" w:type="dxa"/>
          </w:tcPr>
          <w:p w14:paraId="7B3C48CA" w14:textId="3EE516A7" w:rsidR="006A42F5" w:rsidRPr="006A42F5" w:rsidRDefault="006A42F5" w:rsidP="005E306B">
            <w:pPr>
              <w:rPr>
                <w:b/>
                <w:bCs/>
              </w:rPr>
            </w:pPr>
            <w:r w:rsidRPr="00143796">
              <w:rPr>
                <w:b/>
                <w:bCs/>
              </w:rPr>
              <w:t>Test reports</w:t>
            </w:r>
          </w:p>
        </w:tc>
      </w:tr>
      <w:tr w:rsidR="006A42F5" w14:paraId="375B0D4D" w14:textId="77777777" w:rsidTr="006A42F5">
        <w:tc>
          <w:tcPr>
            <w:tcW w:w="9062" w:type="dxa"/>
          </w:tcPr>
          <w:p w14:paraId="5EECA3F6" w14:textId="3EA9921E" w:rsidR="006A42F5" w:rsidRPr="006A42F5" w:rsidRDefault="006A42F5" w:rsidP="005E306B">
            <w:pPr>
              <w:rPr>
                <w:i/>
                <w:iCs/>
              </w:rPr>
            </w:pPr>
            <w:r w:rsidRPr="00143796">
              <w:rPr>
                <w:i/>
                <w:iCs/>
                <w:highlight w:val="yellow"/>
              </w:rPr>
              <w:t>TR example1.</w:t>
            </w:r>
            <w:r w:rsidRPr="006A42F5">
              <w:rPr>
                <w:i/>
                <w:iCs/>
              </w:rPr>
              <w:t>pdf</w:t>
            </w:r>
          </w:p>
        </w:tc>
      </w:tr>
      <w:tr w:rsidR="006A42F5" w14:paraId="74C75E1C" w14:textId="77777777" w:rsidTr="006A42F5">
        <w:tc>
          <w:tcPr>
            <w:tcW w:w="9062" w:type="dxa"/>
          </w:tcPr>
          <w:p w14:paraId="3B1A2342" w14:textId="0557B14D" w:rsidR="006A42F5" w:rsidRPr="006A42F5" w:rsidRDefault="006A42F5" w:rsidP="005E306B">
            <w:pPr>
              <w:rPr>
                <w:i/>
                <w:iCs/>
              </w:rPr>
            </w:pPr>
            <w:r w:rsidRPr="00143796">
              <w:rPr>
                <w:i/>
                <w:iCs/>
                <w:highlight w:val="yellow"/>
              </w:rPr>
              <w:t>TR example2.</w:t>
            </w:r>
            <w:r w:rsidRPr="006A42F5">
              <w:rPr>
                <w:i/>
                <w:iCs/>
              </w:rPr>
              <w:t>pdf</w:t>
            </w:r>
          </w:p>
        </w:tc>
      </w:tr>
      <w:tr w:rsidR="006A42F5" w14:paraId="7F453D2C" w14:textId="77777777" w:rsidTr="006A42F5">
        <w:tc>
          <w:tcPr>
            <w:tcW w:w="9062" w:type="dxa"/>
          </w:tcPr>
          <w:p w14:paraId="1F724EC9" w14:textId="0A253397" w:rsidR="006A42F5" w:rsidRPr="006A42F5" w:rsidRDefault="006A42F5" w:rsidP="005E306B">
            <w:pPr>
              <w:rPr>
                <w:i/>
                <w:iCs/>
              </w:rPr>
            </w:pPr>
            <w:r w:rsidRPr="00143796">
              <w:rPr>
                <w:i/>
                <w:iCs/>
                <w:highlight w:val="yellow"/>
              </w:rPr>
              <w:t>TR example3.</w:t>
            </w:r>
            <w:r w:rsidRPr="006A42F5">
              <w:rPr>
                <w:i/>
                <w:iCs/>
              </w:rPr>
              <w:t>pdf</w:t>
            </w:r>
          </w:p>
        </w:tc>
      </w:tr>
      <w:tr w:rsidR="006A42F5" w14:paraId="67B2458F" w14:textId="77777777" w:rsidTr="006A42F5">
        <w:tc>
          <w:tcPr>
            <w:tcW w:w="9062" w:type="dxa"/>
          </w:tcPr>
          <w:p w14:paraId="1E48BE1E" w14:textId="64AF3876" w:rsidR="006A42F5" w:rsidRPr="006A42F5" w:rsidRDefault="006A42F5" w:rsidP="005E306B">
            <w:pPr>
              <w:rPr>
                <w:i/>
                <w:iCs/>
              </w:rPr>
            </w:pPr>
            <w:r w:rsidRPr="00143796">
              <w:rPr>
                <w:i/>
                <w:iCs/>
                <w:highlight w:val="yellow"/>
              </w:rPr>
              <w:t>TR example4.</w:t>
            </w:r>
            <w:r w:rsidRPr="006A42F5">
              <w:rPr>
                <w:i/>
                <w:iCs/>
              </w:rPr>
              <w:t>pdf</w:t>
            </w:r>
          </w:p>
        </w:tc>
      </w:tr>
      <w:tr w:rsidR="006A42F5" w14:paraId="146A7D02" w14:textId="77777777" w:rsidTr="006A42F5">
        <w:tc>
          <w:tcPr>
            <w:tcW w:w="9062" w:type="dxa"/>
          </w:tcPr>
          <w:p w14:paraId="3D2375C9" w14:textId="32EC7F4E" w:rsidR="006A42F5" w:rsidRPr="006A42F5" w:rsidRDefault="006A42F5" w:rsidP="005E306B">
            <w:pPr>
              <w:rPr>
                <w:i/>
                <w:iCs/>
              </w:rPr>
            </w:pPr>
            <w:r w:rsidRPr="00143796">
              <w:rPr>
                <w:i/>
                <w:iCs/>
                <w:highlight w:val="yellow"/>
              </w:rPr>
              <w:t>TR example5.</w:t>
            </w:r>
            <w:r w:rsidRPr="006A42F5">
              <w:rPr>
                <w:i/>
                <w:iCs/>
              </w:rPr>
              <w:t>pdf</w:t>
            </w:r>
          </w:p>
        </w:tc>
      </w:tr>
      <w:tr w:rsidR="006A42F5" w14:paraId="48170604" w14:textId="77777777" w:rsidTr="006A42F5">
        <w:tc>
          <w:tcPr>
            <w:tcW w:w="9062" w:type="dxa"/>
          </w:tcPr>
          <w:p w14:paraId="544A7929" w14:textId="6B93A40C" w:rsidR="006A42F5" w:rsidRPr="006A42F5" w:rsidRDefault="006A42F5" w:rsidP="005E306B">
            <w:pPr>
              <w:rPr>
                <w:i/>
                <w:iCs/>
              </w:rPr>
            </w:pPr>
            <w:r w:rsidRPr="00143796">
              <w:rPr>
                <w:i/>
                <w:iCs/>
                <w:highlight w:val="yellow"/>
              </w:rPr>
              <w:t>TR example6.</w:t>
            </w:r>
            <w:r w:rsidRPr="006A42F5">
              <w:rPr>
                <w:i/>
                <w:iCs/>
              </w:rPr>
              <w:t>pdf</w:t>
            </w:r>
          </w:p>
        </w:tc>
      </w:tr>
    </w:tbl>
    <w:p w14:paraId="1F487919" w14:textId="17F9F14C" w:rsidR="005E306B" w:rsidRDefault="005E306B" w:rsidP="005E306B"/>
    <w:p w14:paraId="621718D2" w14:textId="2B202867" w:rsidR="005E306B" w:rsidRDefault="005E306B">
      <w:pPr>
        <w:spacing w:after="160" w:line="259" w:lineRule="auto"/>
        <w:jc w:val="left"/>
      </w:pPr>
      <w:r>
        <w:br w:type="page"/>
      </w:r>
    </w:p>
    <w:p w14:paraId="2E31C0C0" w14:textId="5F2F0516" w:rsidR="00A600CB" w:rsidRDefault="006C11B3" w:rsidP="006C11B3">
      <w:pPr>
        <w:pStyle w:val="Cmsor3"/>
      </w:pPr>
      <w:bookmarkStart w:id="10" w:name="_Toc194918377"/>
      <w:r>
        <w:lastRenderedPageBreak/>
        <w:t>(</w:t>
      </w:r>
      <w:proofErr w:type="spellStart"/>
      <w:r>
        <w:t>i</w:t>
      </w:r>
      <w:proofErr w:type="spellEnd"/>
      <w:r>
        <w:t xml:space="preserve">) </w:t>
      </w:r>
      <w:r w:rsidR="00A600CB">
        <w:t>Animal by-product.</w:t>
      </w:r>
      <w:bookmarkEnd w:id="10"/>
    </w:p>
    <w:p w14:paraId="1EFD64F6" w14:textId="75A98685" w:rsidR="006C11B3" w:rsidRPr="00A600CB" w:rsidRDefault="006C11B3" w:rsidP="00A600CB">
      <w:pPr>
        <w:spacing w:before="240" w:after="240"/>
        <w:rPr>
          <w:b/>
          <w:bCs/>
        </w:rPr>
      </w:pPr>
      <w:r w:rsidRPr="00A600CB">
        <w:rPr>
          <w:b/>
          <w:bCs/>
        </w:rPr>
        <w:t>Where the EU fertilising product contains or consists of derived products within the meaning of Regulation (EC) No 1069/2009, the commercial documents or health certificates required pursuant to that Regulation, and evidence that the derived products have reached the end point in the manufacturing chain within the meaning of that Regulation.</w:t>
      </w:r>
    </w:p>
    <w:p w14:paraId="6E4E7D64" w14:textId="269E6DCF" w:rsidR="006C11B3" w:rsidRPr="006C11B3" w:rsidRDefault="006C11B3" w:rsidP="006C11B3">
      <w:pPr>
        <w:rPr>
          <w:i/>
          <w:iCs/>
        </w:rPr>
      </w:pPr>
      <w:r>
        <w:rPr>
          <w:i/>
          <w:iCs/>
        </w:rPr>
        <w:t>If this point does not apply to the EU fertilizer product since it does not contain any animal byproduct. In that case,</w:t>
      </w:r>
      <w:r w:rsidRPr="006C11B3">
        <w:rPr>
          <w:i/>
          <w:iCs/>
        </w:rPr>
        <w:t xml:space="preserve"> the manufacturer shall submit a declaration document regarding this point (</w:t>
      </w:r>
      <w:proofErr w:type="spellStart"/>
      <w:r w:rsidRPr="006C11B3">
        <w:rPr>
          <w:i/>
          <w:iCs/>
        </w:rPr>
        <w:t>i</w:t>
      </w:r>
      <w:proofErr w:type="spellEnd"/>
      <w:r w:rsidRPr="006C11B3">
        <w:rPr>
          <w:i/>
          <w:iCs/>
        </w:rPr>
        <w:t xml:space="preserve">) </w:t>
      </w:r>
      <w:r>
        <w:rPr>
          <w:i/>
          <w:iCs/>
        </w:rPr>
        <w:t xml:space="preserve">that </w:t>
      </w:r>
      <w:r w:rsidRPr="006C11B3">
        <w:rPr>
          <w:i/>
          <w:iCs/>
        </w:rPr>
        <w:t>is not applicable.</w:t>
      </w:r>
    </w:p>
    <w:p w14:paraId="542D5199" w14:textId="77777777" w:rsidR="006C11B3" w:rsidRPr="006C11B3" w:rsidRDefault="006C11B3" w:rsidP="006C11B3">
      <w:pPr>
        <w:rPr>
          <w:i/>
          <w:iCs/>
        </w:rPr>
      </w:pPr>
      <w:r w:rsidRPr="006C11B3">
        <w:rPr>
          <w:i/>
          <w:iCs/>
        </w:rPr>
        <w:t xml:space="preserve">If the EU fertilizing products contain or consist of materials (CMC 3, 5, or 10) derived from animal by-products (ABP) within the meaning of Animal By-Product Regulation (EC) No 1069/2009 (ABPR) the following information should be given: </w:t>
      </w:r>
    </w:p>
    <w:p w14:paraId="69A0468D" w14:textId="77777777" w:rsidR="006C11B3" w:rsidRPr="006C11B3" w:rsidRDefault="006C11B3" w:rsidP="006C11B3">
      <w:pPr>
        <w:ind w:left="851" w:hanging="284"/>
        <w:rPr>
          <w:i/>
          <w:iCs/>
        </w:rPr>
      </w:pPr>
      <w:r w:rsidRPr="006C11B3">
        <w:rPr>
          <w:i/>
          <w:iCs/>
        </w:rPr>
        <w:t>•</w:t>
      </w:r>
      <w:r w:rsidRPr="006C11B3">
        <w:rPr>
          <w:i/>
          <w:iCs/>
        </w:rPr>
        <w:tab/>
        <w:t xml:space="preserve">the commercial documents or health certificates required by the ABPR for the ABPs that are used </w:t>
      </w:r>
      <w:proofErr w:type="gramStart"/>
      <w:r w:rsidRPr="006C11B3">
        <w:rPr>
          <w:i/>
          <w:iCs/>
        </w:rPr>
        <w:t>for the production of</w:t>
      </w:r>
      <w:proofErr w:type="gramEnd"/>
      <w:r w:rsidRPr="006C11B3">
        <w:rPr>
          <w:i/>
          <w:iCs/>
        </w:rPr>
        <w:t xml:space="preserve"> OF/SI Regulations (EC 2009/1069 and EU 142/2011),</w:t>
      </w:r>
    </w:p>
    <w:p w14:paraId="49D49C54" w14:textId="44BF859C" w:rsidR="006C11B3" w:rsidRDefault="006C11B3" w:rsidP="00BA2A86">
      <w:pPr>
        <w:spacing w:after="600"/>
        <w:ind w:left="851" w:hanging="284"/>
        <w:rPr>
          <w:i/>
          <w:iCs/>
        </w:rPr>
      </w:pPr>
      <w:r w:rsidRPr="006C11B3">
        <w:rPr>
          <w:i/>
          <w:iCs/>
        </w:rPr>
        <w:t>•</w:t>
      </w:r>
      <w:r w:rsidRPr="006C11B3">
        <w:rPr>
          <w:i/>
          <w:iCs/>
        </w:rPr>
        <w:tab/>
        <w:t>and evidence that the derived products have reached the endpoint in the manufacturing chain for OF/SI.</w:t>
      </w:r>
    </w:p>
    <w:p w14:paraId="66532485" w14:textId="77777777" w:rsidR="00BA2A86" w:rsidRDefault="00BA2A86" w:rsidP="00BA2A86"/>
    <w:p w14:paraId="24FA36C6" w14:textId="2E140354" w:rsidR="00B930AD" w:rsidRDefault="00B930AD">
      <w:pPr>
        <w:spacing w:after="160" w:line="259" w:lineRule="auto"/>
        <w:jc w:val="left"/>
        <w:rPr>
          <w:i/>
          <w:iCs/>
        </w:rPr>
      </w:pPr>
      <w:r>
        <w:rPr>
          <w:i/>
          <w:iCs/>
        </w:rPr>
        <w:br w:type="page"/>
      </w:r>
    </w:p>
    <w:p w14:paraId="04A82998" w14:textId="11B07399" w:rsidR="00A600CB" w:rsidRDefault="00B930AD" w:rsidP="00B930AD">
      <w:pPr>
        <w:pStyle w:val="Cmsor3"/>
      </w:pPr>
      <w:bookmarkStart w:id="11" w:name="_Toc194918378"/>
      <w:r>
        <w:lastRenderedPageBreak/>
        <w:t xml:space="preserve">(j) </w:t>
      </w:r>
      <w:r w:rsidR="00A600CB">
        <w:t>By-products</w:t>
      </w:r>
      <w:bookmarkEnd w:id="11"/>
    </w:p>
    <w:p w14:paraId="447AB8DE" w14:textId="352D99EB" w:rsidR="00B930AD" w:rsidRPr="00A600CB" w:rsidRDefault="00B930AD" w:rsidP="00A600CB">
      <w:pPr>
        <w:spacing w:before="240" w:after="240"/>
        <w:rPr>
          <w:b/>
          <w:bCs/>
        </w:rPr>
      </w:pPr>
      <w:r w:rsidRPr="00A600CB">
        <w:rPr>
          <w:b/>
          <w:bCs/>
        </w:rPr>
        <w:t>Where the EU fertilising product contains or consists of by-products within the meaning of Directive 2008/98/EC, technical and administrative evidence that the by-products comply with the criteria established by delegated act referred to in Article 42(7) of this Regulation, and with the national measures transposing Article 5(1) of Directive 2008/98/EC and, where applicable, implementing acts referred to in Article 5(2) or national measures adopted under Article 5(3) of that Directive.</w:t>
      </w:r>
    </w:p>
    <w:p w14:paraId="7AAC1DE3" w14:textId="4F155A92" w:rsidR="00B930AD" w:rsidRDefault="00B930AD" w:rsidP="00BA2A86">
      <w:pPr>
        <w:spacing w:after="600"/>
        <w:rPr>
          <w:i/>
          <w:iCs/>
        </w:rPr>
      </w:pPr>
      <w:r>
        <w:rPr>
          <w:i/>
          <w:iCs/>
        </w:rPr>
        <w:t>Suppose this point is not applicable to the EU fertilizer product since it does not contain any by-product(s). In that case,</w:t>
      </w:r>
      <w:r w:rsidRPr="00B930AD">
        <w:rPr>
          <w:i/>
          <w:iCs/>
        </w:rPr>
        <w:t xml:space="preserve"> the manufacturer shall submit a declaration document regarding this point (j) is not applicable.</w:t>
      </w:r>
    </w:p>
    <w:p w14:paraId="49A2F477" w14:textId="278417A2" w:rsidR="003B69D9" w:rsidRPr="003B69D9" w:rsidRDefault="003B69D9" w:rsidP="003B69D9">
      <w:pPr>
        <w:rPr>
          <w:i/>
          <w:iCs/>
        </w:rPr>
      </w:pPr>
      <w:r w:rsidRPr="003B69D9">
        <w:rPr>
          <w:i/>
          <w:iCs/>
        </w:rPr>
        <w:t xml:space="preserve">Where the EU fertilising product contains or consists of by-products belonging to CMC 11 the following information should be given: </w:t>
      </w:r>
    </w:p>
    <w:p w14:paraId="6495C682" w14:textId="6524CAAD" w:rsidR="003B69D9" w:rsidRPr="003B69D9" w:rsidRDefault="003B69D9" w:rsidP="003B69D9">
      <w:pPr>
        <w:pStyle w:val="Listaszerbekezds"/>
        <w:numPr>
          <w:ilvl w:val="0"/>
          <w:numId w:val="12"/>
        </w:numPr>
        <w:spacing w:after="600"/>
        <w:rPr>
          <w:i/>
          <w:iCs/>
        </w:rPr>
      </w:pPr>
      <w:r w:rsidRPr="003B69D9">
        <w:rPr>
          <w:i/>
          <w:iCs/>
        </w:rPr>
        <w:t xml:space="preserve">Technical and administrative evidence that the by-products comply with the criteria of the CMC 11 (as established by delegated REGULATION (EU) 2022/973 of 14 March 2022). </w:t>
      </w:r>
    </w:p>
    <w:p w14:paraId="4079C14B" w14:textId="5DD49E5E" w:rsidR="0092370E" w:rsidRPr="00FA2924" w:rsidRDefault="003B69D9" w:rsidP="0092370E">
      <w:pPr>
        <w:pStyle w:val="Listaszerbekezds"/>
        <w:numPr>
          <w:ilvl w:val="0"/>
          <w:numId w:val="12"/>
        </w:numPr>
        <w:spacing w:after="600"/>
        <w:rPr>
          <w:i/>
          <w:iCs/>
        </w:rPr>
      </w:pPr>
      <w:r w:rsidRPr="00FA2924">
        <w:rPr>
          <w:i/>
          <w:iCs/>
        </w:rPr>
        <w:t>Demonstration that the material complies with the national measures transposing Article 5(1) of the Waste Framework Directive (WFD) on by-products</w:t>
      </w:r>
      <w:r w:rsidR="0092370E" w:rsidRPr="00FA2924">
        <w:rPr>
          <w:i/>
          <w:iCs/>
        </w:rPr>
        <w:t xml:space="preserve"> is not the production of that substance or object is considered not to be waste, but to be a by-product if the following conditions are met:</w:t>
      </w:r>
    </w:p>
    <w:p w14:paraId="19F92A7F" w14:textId="77777777" w:rsidR="0092370E" w:rsidRPr="00FA2924" w:rsidRDefault="0092370E" w:rsidP="0092370E">
      <w:pPr>
        <w:pStyle w:val="Listaszerbekezds"/>
        <w:spacing w:after="600"/>
        <w:ind w:left="993"/>
        <w:rPr>
          <w:i/>
          <w:iCs/>
        </w:rPr>
      </w:pPr>
      <w:r w:rsidRPr="00FA2924">
        <w:rPr>
          <w:i/>
          <w:iCs/>
        </w:rPr>
        <w:t xml:space="preserve">(a) further use of the substance or object is </w:t>
      </w:r>
      <w:proofErr w:type="gramStart"/>
      <w:r w:rsidRPr="00FA2924">
        <w:rPr>
          <w:i/>
          <w:iCs/>
        </w:rPr>
        <w:t>certain;</w:t>
      </w:r>
      <w:proofErr w:type="gramEnd"/>
    </w:p>
    <w:p w14:paraId="06E01239" w14:textId="77777777" w:rsidR="0092370E" w:rsidRPr="00FA2924" w:rsidRDefault="0092370E" w:rsidP="0092370E">
      <w:pPr>
        <w:pStyle w:val="Listaszerbekezds"/>
        <w:spacing w:after="600"/>
        <w:ind w:left="1276" w:hanging="283"/>
        <w:rPr>
          <w:i/>
          <w:iCs/>
        </w:rPr>
      </w:pPr>
      <w:r w:rsidRPr="00FA2924">
        <w:rPr>
          <w:i/>
          <w:iCs/>
        </w:rPr>
        <w:t xml:space="preserve">(b) the substance or object can be used directly without any further processing other than normal industrial </w:t>
      </w:r>
      <w:proofErr w:type="gramStart"/>
      <w:r w:rsidRPr="00FA2924">
        <w:rPr>
          <w:i/>
          <w:iCs/>
        </w:rPr>
        <w:t>practice;</w:t>
      </w:r>
      <w:proofErr w:type="gramEnd"/>
    </w:p>
    <w:p w14:paraId="5D27BE24" w14:textId="77777777" w:rsidR="0092370E" w:rsidRPr="00FA2924" w:rsidRDefault="0092370E" w:rsidP="0092370E">
      <w:pPr>
        <w:pStyle w:val="Listaszerbekezds"/>
        <w:spacing w:after="600"/>
        <w:ind w:left="993"/>
        <w:rPr>
          <w:i/>
          <w:iCs/>
        </w:rPr>
      </w:pPr>
      <w:r w:rsidRPr="00FA2924">
        <w:rPr>
          <w:i/>
          <w:iCs/>
        </w:rPr>
        <w:t>(c) the substance or object is produced as an integral part of a production process; and</w:t>
      </w:r>
    </w:p>
    <w:p w14:paraId="2AB535DB" w14:textId="0C345F64" w:rsidR="003B69D9" w:rsidRPr="00FA2924" w:rsidRDefault="0092370E" w:rsidP="0092370E">
      <w:pPr>
        <w:pStyle w:val="Listaszerbekezds"/>
        <w:spacing w:after="600"/>
        <w:ind w:left="1276" w:hanging="283"/>
        <w:rPr>
          <w:i/>
          <w:iCs/>
        </w:rPr>
      </w:pPr>
      <w:r w:rsidRPr="00FA2924">
        <w:rPr>
          <w:i/>
          <w:iCs/>
        </w:rPr>
        <w:t>(d) further use is lawful, i.e. the substance or object fulfils all relevant product, environmental and health protection requirements for the specific use and will not lead to overall adverse environmental or human health impacts.</w:t>
      </w:r>
    </w:p>
    <w:p w14:paraId="43DE35D4" w14:textId="77777777" w:rsidR="003B69D9" w:rsidRDefault="003B69D9" w:rsidP="003B69D9">
      <w:pPr>
        <w:pStyle w:val="Listaszerbekezds"/>
        <w:numPr>
          <w:ilvl w:val="0"/>
          <w:numId w:val="12"/>
        </w:numPr>
        <w:spacing w:after="600"/>
        <w:rPr>
          <w:i/>
          <w:iCs/>
        </w:rPr>
      </w:pPr>
      <w:r w:rsidRPr="003B69D9">
        <w:rPr>
          <w:i/>
          <w:iCs/>
        </w:rPr>
        <w:t>Where the material in CMC 11 is covered by an EU implementing act or national detailed criteria to define by-product criteria for a certain material this should be stated with reference in the technical documentation.</w:t>
      </w:r>
    </w:p>
    <w:p w14:paraId="3DC65DFB" w14:textId="1BF5E851" w:rsidR="00284B5E" w:rsidRPr="003B69D9" w:rsidRDefault="00284B5E" w:rsidP="003B69D9">
      <w:pPr>
        <w:pStyle w:val="Listaszerbekezds"/>
        <w:numPr>
          <w:ilvl w:val="0"/>
          <w:numId w:val="12"/>
        </w:numPr>
        <w:spacing w:after="600"/>
        <w:rPr>
          <w:i/>
          <w:iCs/>
        </w:rPr>
      </w:pPr>
      <w:r w:rsidRPr="003B69D9">
        <w:rPr>
          <w:i/>
          <w:iCs/>
        </w:rPr>
        <w:br w:type="page"/>
      </w:r>
    </w:p>
    <w:p w14:paraId="3BF62BCF" w14:textId="77777777" w:rsidR="00284B5E" w:rsidRDefault="00284B5E" w:rsidP="00284B5E"/>
    <w:p w14:paraId="32A9CCCF" w14:textId="79CBA3CB" w:rsidR="00A600CB" w:rsidRDefault="00284B5E" w:rsidP="00284B5E">
      <w:pPr>
        <w:pStyle w:val="Cmsor3"/>
      </w:pPr>
      <w:bookmarkStart w:id="12" w:name="_Toc194918379"/>
      <w:r>
        <w:t xml:space="preserve">(k) </w:t>
      </w:r>
      <w:r w:rsidR="00A600CB">
        <w:t>Total chromium content</w:t>
      </w:r>
      <w:bookmarkEnd w:id="12"/>
    </w:p>
    <w:p w14:paraId="6DFB6AB4" w14:textId="409F19B3" w:rsidR="00284B5E" w:rsidRPr="00A600CB" w:rsidRDefault="00284B5E" w:rsidP="00A600CB">
      <w:pPr>
        <w:spacing w:before="240" w:after="240"/>
        <w:rPr>
          <w:b/>
          <w:bCs/>
        </w:rPr>
      </w:pPr>
      <w:r w:rsidRPr="00A600CB">
        <w:rPr>
          <w:b/>
          <w:bCs/>
        </w:rPr>
        <w:t>Where the EU fertilising product contains total chromium (Cr) above 200 mg/kg, information about the maximum quantity and exact source of total chromium (Cr).</w:t>
      </w:r>
    </w:p>
    <w:p w14:paraId="74D72CEE" w14:textId="77777777" w:rsidR="00284B5E" w:rsidRPr="00284B5E" w:rsidRDefault="00284B5E" w:rsidP="00284B5E">
      <w:pPr>
        <w:rPr>
          <w:i/>
          <w:iCs/>
        </w:rPr>
      </w:pPr>
      <w:r w:rsidRPr="00284B5E">
        <w:rPr>
          <w:i/>
          <w:iCs/>
        </w:rPr>
        <w:t>When total chromium content in an EU fertilising product exceeds 200 mg/kg dry matter information a specification of the exact source should be given.</w:t>
      </w:r>
    </w:p>
    <w:p w14:paraId="7DE3AD7A" w14:textId="77777777" w:rsidR="00284B5E" w:rsidRPr="00284B5E" w:rsidRDefault="00284B5E" w:rsidP="00284B5E">
      <w:pPr>
        <w:rPr>
          <w:i/>
          <w:iCs/>
        </w:rPr>
      </w:pPr>
      <w:r w:rsidRPr="00284B5E">
        <w:rPr>
          <w:i/>
          <w:iCs/>
        </w:rPr>
        <w:t>The manufacturer could also submit a declaration document regarding that on the base of the origin of the raw materials and circumstances of technology Cr content above 200 mg/kg can be excluded.</w:t>
      </w:r>
    </w:p>
    <w:p w14:paraId="22832DD0" w14:textId="77777777" w:rsidR="00284B5E" w:rsidRDefault="00284B5E" w:rsidP="00284B5E">
      <w:pPr>
        <w:spacing w:after="600"/>
        <w:rPr>
          <w:i/>
          <w:iCs/>
        </w:rPr>
      </w:pPr>
      <w:r w:rsidRPr="00284B5E">
        <w:rPr>
          <w:i/>
          <w:iCs/>
        </w:rPr>
        <w:t>Furthermore, this point can also be proved by laboratory test results.</w:t>
      </w:r>
    </w:p>
    <w:p w14:paraId="3AA06DDA" w14:textId="37A31318" w:rsidR="00A82CB8" w:rsidRDefault="00A82CB8">
      <w:pPr>
        <w:spacing w:after="160" w:line="259" w:lineRule="auto"/>
        <w:jc w:val="left"/>
        <w:rPr>
          <w:i/>
          <w:iCs/>
        </w:rPr>
      </w:pPr>
      <w:r>
        <w:rPr>
          <w:i/>
          <w:iCs/>
        </w:rPr>
        <w:br w:type="page"/>
      </w:r>
    </w:p>
    <w:p w14:paraId="669D4F40" w14:textId="7680E0E1" w:rsidR="00BA2A86" w:rsidRPr="00B20D59" w:rsidRDefault="00B20D59" w:rsidP="00A82CB8">
      <w:pPr>
        <w:pStyle w:val="Cmsor3"/>
        <w:rPr>
          <w:i/>
          <w:iCs/>
        </w:rPr>
      </w:pPr>
      <w:bookmarkStart w:id="13" w:name="_Toc194918380"/>
      <w:r w:rsidRPr="00B20D59">
        <w:lastRenderedPageBreak/>
        <w:t>EU declaration of conformity</w:t>
      </w:r>
      <w:bookmarkEnd w:id="13"/>
    </w:p>
    <w:p w14:paraId="4AA5C34C" w14:textId="7C52E011" w:rsidR="00B20D59" w:rsidRPr="00B20D59" w:rsidRDefault="00B20D59" w:rsidP="00B20D59">
      <w:r w:rsidRPr="00B20D59">
        <w:t xml:space="preserve">Regardless of the chosen conformity assessment the manufacturer shall draw up a written EU declaration of conformity (EU </w:t>
      </w:r>
      <w:proofErr w:type="spellStart"/>
      <w:r w:rsidRPr="00B20D59">
        <w:t>DoC</w:t>
      </w:r>
      <w:proofErr w:type="spellEnd"/>
      <w:r w:rsidRPr="00B20D59">
        <w:t>) for an EU fertilising product and keep it together with the technical documentation at the disposal of the national authorities for 5 years after the EU fertilising product has been placed on the market.</w:t>
      </w:r>
    </w:p>
    <w:p w14:paraId="7DC8641C" w14:textId="05DFCCE3" w:rsidR="00B20D59" w:rsidRDefault="00B20D59" w:rsidP="00B20D59">
      <w:r w:rsidRPr="00B20D59">
        <w:t xml:space="preserve">The template for the EU </w:t>
      </w:r>
      <w:proofErr w:type="spellStart"/>
      <w:r w:rsidRPr="00B20D59">
        <w:t>DoC</w:t>
      </w:r>
      <w:proofErr w:type="spellEnd"/>
      <w:r w:rsidRPr="00B20D59">
        <w:t xml:space="preserve"> is given in Annex V of the FPR. This template must be used to draw up the </w:t>
      </w:r>
      <w:proofErr w:type="spellStart"/>
      <w:r w:rsidRPr="00B20D59">
        <w:t>DoC</w:t>
      </w:r>
      <w:proofErr w:type="spellEnd"/>
      <w:r w:rsidRPr="00B20D59">
        <w:t xml:space="preserve"> for fertilising products. </w:t>
      </w:r>
    </w:p>
    <w:p w14:paraId="39CFA75D" w14:textId="2B1473C9" w:rsidR="00A82CB8" w:rsidRPr="00FA2924" w:rsidRDefault="00A82CB8" w:rsidP="00B20D59">
      <w:r w:rsidRPr="00FA2924">
        <w:t xml:space="preserve">Submission of the </w:t>
      </w:r>
      <w:proofErr w:type="spellStart"/>
      <w:r w:rsidRPr="00FA2924">
        <w:t>DoC</w:t>
      </w:r>
      <w:proofErr w:type="spellEnd"/>
      <w:r w:rsidRPr="00FA2924">
        <w:t xml:space="preserve"> </w:t>
      </w:r>
      <w:r w:rsidR="00FD41EE" w:rsidRPr="00FA2924">
        <w:t>draft</w:t>
      </w:r>
      <w:r w:rsidRPr="00FA2924">
        <w:t xml:space="preserve"> is a recommendation and is not part of the technical documentation.</w:t>
      </w:r>
    </w:p>
    <w:sectPr w:rsidR="00A82CB8" w:rsidRPr="00FA2924" w:rsidSect="00F158A6">
      <w:headerReference w:type="default" r:id="rId12"/>
      <w:footerReference w:type="default" r:id="rId13"/>
      <w:pgSz w:w="11906" w:h="16838"/>
      <w:pgMar w:top="1417" w:right="1417" w:bottom="1417"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4EF8C" w14:textId="77777777" w:rsidR="00B23664" w:rsidRPr="00AC426A" w:rsidRDefault="00B23664" w:rsidP="002326B9">
      <w:r w:rsidRPr="00AC426A">
        <w:separator/>
      </w:r>
    </w:p>
  </w:endnote>
  <w:endnote w:type="continuationSeparator" w:id="0">
    <w:p w14:paraId="1C3B0613" w14:textId="77777777" w:rsidR="00B23664" w:rsidRPr="00AC426A" w:rsidRDefault="00B23664" w:rsidP="002326B9">
      <w:r w:rsidRPr="00AC42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9785" w14:textId="77777777" w:rsidR="005979C4" w:rsidRPr="001C2158" w:rsidRDefault="005979C4" w:rsidP="005979C4">
    <w:pPr>
      <w:pStyle w:val="llb"/>
      <w:jc w:val="center"/>
      <w:rPr>
        <w:sz w:val="14"/>
        <w:szCs w:val="12"/>
      </w:rPr>
    </w:pPr>
    <w:r w:rsidRPr="001C2158">
      <w:rPr>
        <w:sz w:val="14"/>
        <w:szCs w:val="12"/>
      </w:rPr>
      <w:fldChar w:fldCharType="begin"/>
    </w:r>
    <w:r w:rsidRPr="001C2158">
      <w:rPr>
        <w:sz w:val="14"/>
        <w:szCs w:val="12"/>
      </w:rPr>
      <w:instrText>PAGE  \* Arabic  \* MERGEFORMAT</w:instrText>
    </w:r>
    <w:r w:rsidRPr="001C2158">
      <w:rPr>
        <w:sz w:val="14"/>
        <w:szCs w:val="12"/>
      </w:rPr>
      <w:fldChar w:fldCharType="separate"/>
    </w:r>
    <w:r>
      <w:rPr>
        <w:sz w:val="14"/>
        <w:szCs w:val="12"/>
      </w:rPr>
      <w:t>1</w:t>
    </w:r>
    <w:r w:rsidRPr="001C2158">
      <w:rPr>
        <w:sz w:val="14"/>
        <w:szCs w:val="12"/>
      </w:rPr>
      <w:fldChar w:fldCharType="end"/>
    </w:r>
    <w:r w:rsidRPr="001C2158">
      <w:rPr>
        <w:sz w:val="14"/>
        <w:szCs w:val="12"/>
        <w:lang w:val="hu-HU"/>
      </w:rPr>
      <w:t xml:space="preserve"> / </w:t>
    </w:r>
    <w:r w:rsidRPr="001C2158">
      <w:rPr>
        <w:sz w:val="14"/>
        <w:szCs w:val="12"/>
      </w:rPr>
      <w:fldChar w:fldCharType="begin"/>
    </w:r>
    <w:r w:rsidRPr="001C2158">
      <w:rPr>
        <w:sz w:val="14"/>
        <w:szCs w:val="12"/>
      </w:rPr>
      <w:instrText>NUMPAGES  \* Arabic  \* MERGEFORMAT</w:instrText>
    </w:r>
    <w:r w:rsidRPr="001C2158">
      <w:rPr>
        <w:sz w:val="14"/>
        <w:szCs w:val="12"/>
      </w:rPr>
      <w:fldChar w:fldCharType="separate"/>
    </w:r>
    <w:r>
      <w:rPr>
        <w:sz w:val="14"/>
        <w:szCs w:val="12"/>
      </w:rPr>
      <w:t>15</w:t>
    </w:r>
    <w:r w:rsidRPr="001C2158">
      <w:rPr>
        <w:sz w:val="14"/>
        <w:szCs w:val="12"/>
      </w:rPr>
      <w:fldChar w:fldCharType="end"/>
    </w:r>
  </w:p>
  <w:p w14:paraId="7EC1870E" w14:textId="4304AAB1" w:rsidR="005979C4" w:rsidRPr="001C2158" w:rsidRDefault="005979C4" w:rsidP="005979C4">
    <w:pPr>
      <w:pStyle w:val="llb"/>
      <w:tabs>
        <w:tab w:val="clear" w:pos="4536"/>
        <w:tab w:val="clear" w:pos="9072"/>
        <w:tab w:val="center" w:pos="7938"/>
      </w:tabs>
      <w:rPr>
        <w:sz w:val="14"/>
        <w:szCs w:val="12"/>
      </w:rPr>
    </w:pPr>
    <w:r>
      <w:rPr>
        <w:sz w:val="14"/>
        <w:szCs w:val="12"/>
      </w:rPr>
      <w:t>FPR-TD-Guide-</w:t>
    </w:r>
    <w:r>
      <w:rPr>
        <w:sz w:val="14"/>
        <w:szCs w:val="12"/>
      </w:rPr>
      <w:t>D1_</w:t>
    </w:r>
    <w:r>
      <w:rPr>
        <w:sz w:val="14"/>
        <w:szCs w:val="12"/>
      </w:rPr>
      <w:t>1</w:t>
    </w:r>
    <w:r>
      <w:rPr>
        <w:sz w:val="14"/>
        <w:szCs w:val="12"/>
      </w:rPr>
      <w:tab/>
      <w:t>valid from: 202</w:t>
    </w:r>
    <w:r>
      <w:rPr>
        <w:sz w:val="14"/>
        <w:szCs w:val="12"/>
      </w:rPr>
      <w:t>5</w:t>
    </w:r>
    <w:r>
      <w:rPr>
        <w:sz w:val="14"/>
        <w:szCs w:val="12"/>
      </w:rPr>
      <w:t>.</w:t>
    </w:r>
    <w:r>
      <w:rPr>
        <w:sz w:val="14"/>
        <w:szCs w:val="12"/>
      </w:rPr>
      <w:t>04</w:t>
    </w:r>
    <w:r>
      <w:rPr>
        <w:sz w:val="14"/>
        <w:szCs w:val="12"/>
      </w:rPr>
      <w:t>.</w:t>
    </w:r>
    <w:r>
      <w:rPr>
        <w:sz w:val="14"/>
        <w:szCs w:val="12"/>
      </w:rPr>
      <w:t>07</w:t>
    </w:r>
    <w:r>
      <w:rPr>
        <w:sz w:val="14"/>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48670" w14:textId="77777777" w:rsidR="00B23664" w:rsidRPr="00AC426A" w:rsidRDefault="00B23664" w:rsidP="002326B9">
      <w:r w:rsidRPr="00AC426A">
        <w:separator/>
      </w:r>
    </w:p>
  </w:footnote>
  <w:footnote w:type="continuationSeparator" w:id="0">
    <w:p w14:paraId="543D40FB" w14:textId="77777777" w:rsidR="00B23664" w:rsidRPr="00AC426A" w:rsidRDefault="00B23664" w:rsidP="002326B9">
      <w:r w:rsidRPr="00AC42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622E" w14:textId="073941D1" w:rsidR="002326B9" w:rsidRPr="00AC426A" w:rsidRDefault="002326B9" w:rsidP="002326B9">
    <w:pPr>
      <w:pStyle w:val="lfej"/>
      <w:jc w:val="center"/>
    </w:pPr>
    <w:r w:rsidRPr="00AC426A">
      <w:rPr>
        <w:noProof/>
      </w:rPr>
      <w:drawing>
        <wp:inline distT="0" distB="0" distL="0" distR="0" wp14:anchorId="3A9EAF24" wp14:editId="74B1C51A">
          <wp:extent cx="1005840" cy="511810"/>
          <wp:effectExtent l="0" t="0" r="3810" b="2540"/>
          <wp:docPr id="90876743" name="Kép 1"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14489" name="Kép 1" descr="A képen szöveg, Betűtípus, embléma,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11810"/>
                  </a:xfrm>
                  <a:prstGeom prst="rect">
                    <a:avLst/>
                  </a:prstGeom>
                  <a:noFill/>
                </pic:spPr>
              </pic:pic>
            </a:graphicData>
          </a:graphic>
        </wp:inline>
      </w:drawing>
    </w:r>
  </w:p>
  <w:p w14:paraId="0D231923" w14:textId="1B627880" w:rsidR="002326B9" w:rsidRPr="00AC426A" w:rsidRDefault="002326B9" w:rsidP="00A600CB">
    <w:pPr>
      <w:pStyle w:val="lfej"/>
      <w:spacing w:before="120" w:after="480"/>
      <w:jc w:val="center"/>
      <w:rPr>
        <w:rFonts w:cstheme="minorHAnsi"/>
      </w:rPr>
    </w:pPr>
    <w:r w:rsidRPr="00AC426A">
      <w:rPr>
        <w:rFonts w:cstheme="minorHAnsi"/>
      </w:rPr>
      <w:t>CerTrust Inspection and Certification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030"/>
    <w:multiLevelType w:val="hybridMultilevel"/>
    <w:tmpl w:val="00E012C0"/>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 w15:restartNumberingAfterBreak="0">
    <w:nsid w:val="06760D89"/>
    <w:multiLevelType w:val="hybridMultilevel"/>
    <w:tmpl w:val="705870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314CFA"/>
    <w:multiLevelType w:val="hybridMultilevel"/>
    <w:tmpl w:val="705870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612FEC"/>
    <w:multiLevelType w:val="hybridMultilevel"/>
    <w:tmpl w:val="79485504"/>
    <w:lvl w:ilvl="0" w:tplc="3424BD64">
      <w:start w:val="10"/>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B5A4E42"/>
    <w:multiLevelType w:val="hybridMultilevel"/>
    <w:tmpl w:val="133E92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EE94990"/>
    <w:multiLevelType w:val="hybridMultilevel"/>
    <w:tmpl w:val="BC28C5BC"/>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1DC7A07"/>
    <w:multiLevelType w:val="hybridMultilevel"/>
    <w:tmpl w:val="1B38B088"/>
    <w:lvl w:ilvl="0" w:tplc="040E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692E4E"/>
    <w:multiLevelType w:val="hybridMultilevel"/>
    <w:tmpl w:val="DD162430"/>
    <w:lvl w:ilvl="0" w:tplc="27B83CE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8820A95"/>
    <w:multiLevelType w:val="hybridMultilevel"/>
    <w:tmpl w:val="705870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73866E7"/>
    <w:multiLevelType w:val="hybridMultilevel"/>
    <w:tmpl w:val="DD5EDE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BDA361F"/>
    <w:multiLevelType w:val="hybridMultilevel"/>
    <w:tmpl w:val="9F620F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FDD19F8"/>
    <w:multiLevelType w:val="singleLevel"/>
    <w:tmpl w:val="040E000F"/>
    <w:lvl w:ilvl="0">
      <w:start w:val="1"/>
      <w:numFmt w:val="decimal"/>
      <w:lvlText w:val="%1."/>
      <w:lvlJc w:val="left"/>
      <w:pPr>
        <w:ind w:left="1004" w:hanging="360"/>
      </w:pPr>
      <w:rPr>
        <w:rFonts w:hint="default"/>
      </w:rPr>
    </w:lvl>
  </w:abstractNum>
  <w:num w:numId="1" w16cid:durableId="2104838714">
    <w:abstractNumId w:val="5"/>
  </w:num>
  <w:num w:numId="2" w16cid:durableId="321783400">
    <w:abstractNumId w:val="8"/>
  </w:num>
  <w:num w:numId="3" w16cid:durableId="2016230071">
    <w:abstractNumId w:val="10"/>
  </w:num>
  <w:num w:numId="4" w16cid:durableId="1387220228">
    <w:abstractNumId w:val="2"/>
  </w:num>
  <w:num w:numId="5" w16cid:durableId="303775181">
    <w:abstractNumId w:val="3"/>
  </w:num>
  <w:num w:numId="6" w16cid:durableId="2014993873">
    <w:abstractNumId w:val="1"/>
  </w:num>
  <w:num w:numId="7" w16cid:durableId="355422032">
    <w:abstractNumId w:val="7"/>
  </w:num>
  <w:num w:numId="8" w16cid:durableId="862325406">
    <w:abstractNumId w:val="6"/>
  </w:num>
  <w:num w:numId="9" w16cid:durableId="1640572069">
    <w:abstractNumId w:val="9"/>
  </w:num>
  <w:num w:numId="10" w16cid:durableId="679746104">
    <w:abstractNumId w:val="0"/>
  </w:num>
  <w:num w:numId="11" w16cid:durableId="1048801262">
    <w:abstractNumId w:val="11"/>
  </w:num>
  <w:num w:numId="12" w16cid:durableId="326981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9"/>
    <w:rsid w:val="00021251"/>
    <w:rsid w:val="00041D49"/>
    <w:rsid w:val="00051881"/>
    <w:rsid w:val="000754F6"/>
    <w:rsid w:val="00081795"/>
    <w:rsid w:val="0009736C"/>
    <w:rsid w:val="000A3E7D"/>
    <w:rsid w:val="000A7BA7"/>
    <w:rsid w:val="000B0927"/>
    <w:rsid w:val="000F6336"/>
    <w:rsid w:val="00143796"/>
    <w:rsid w:val="0015504B"/>
    <w:rsid w:val="001B226A"/>
    <w:rsid w:val="001C2158"/>
    <w:rsid w:val="001E5C10"/>
    <w:rsid w:val="00226DB8"/>
    <w:rsid w:val="002326B9"/>
    <w:rsid w:val="002620EC"/>
    <w:rsid w:val="00270EBC"/>
    <w:rsid w:val="00282D71"/>
    <w:rsid w:val="00284B5E"/>
    <w:rsid w:val="002C1046"/>
    <w:rsid w:val="002E5CED"/>
    <w:rsid w:val="00344808"/>
    <w:rsid w:val="00355862"/>
    <w:rsid w:val="003558F7"/>
    <w:rsid w:val="00355FB2"/>
    <w:rsid w:val="00364426"/>
    <w:rsid w:val="00370F38"/>
    <w:rsid w:val="003720DC"/>
    <w:rsid w:val="003806CE"/>
    <w:rsid w:val="00394519"/>
    <w:rsid w:val="003B69D9"/>
    <w:rsid w:val="003C7016"/>
    <w:rsid w:val="00410365"/>
    <w:rsid w:val="004206E1"/>
    <w:rsid w:val="00430A50"/>
    <w:rsid w:val="00436DE7"/>
    <w:rsid w:val="00441C2E"/>
    <w:rsid w:val="004640B1"/>
    <w:rsid w:val="004776CC"/>
    <w:rsid w:val="004B49B7"/>
    <w:rsid w:val="004B5556"/>
    <w:rsid w:val="004F67FE"/>
    <w:rsid w:val="004F7BD1"/>
    <w:rsid w:val="00515836"/>
    <w:rsid w:val="00567EAB"/>
    <w:rsid w:val="00587E31"/>
    <w:rsid w:val="005979C4"/>
    <w:rsid w:val="005A7DA8"/>
    <w:rsid w:val="005C38B2"/>
    <w:rsid w:val="005E306B"/>
    <w:rsid w:val="005E4C06"/>
    <w:rsid w:val="005F562E"/>
    <w:rsid w:val="00602555"/>
    <w:rsid w:val="006214E9"/>
    <w:rsid w:val="006377D2"/>
    <w:rsid w:val="00650FD8"/>
    <w:rsid w:val="0066051E"/>
    <w:rsid w:val="006A42F5"/>
    <w:rsid w:val="006C11B3"/>
    <w:rsid w:val="006C55E5"/>
    <w:rsid w:val="007017DB"/>
    <w:rsid w:val="0076548C"/>
    <w:rsid w:val="007A2B21"/>
    <w:rsid w:val="007B1A35"/>
    <w:rsid w:val="007C0654"/>
    <w:rsid w:val="007C4819"/>
    <w:rsid w:val="00801269"/>
    <w:rsid w:val="008231A2"/>
    <w:rsid w:val="008315A2"/>
    <w:rsid w:val="008766A3"/>
    <w:rsid w:val="008A5918"/>
    <w:rsid w:val="008A79BF"/>
    <w:rsid w:val="008B0B67"/>
    <w:rsid w:val="008E3F1E"/>
    <w:rsid w:val="00922B0B"/>
    <w:rsid w:val="0092370E"/>
    <w:rsid w:val="0093064E"/>
    <w:rsid w:val="00947F37"/>
    <w:rsid w:val="00980AF6"/>
    <w:rsid w:val="0098788B"/>
    <w:rsid w:val="00997DC1"/>
    <w:rsid w:val="009A018C"/>
    <w:rsid w:val="009C023C"/>
    <w:rsid w:val="00A10782"/>
    <w:rsid w:val="00A45334"/>
    <w:rsid w:val="00A600CB"/>
    <w:rsid w:val="00A7347B"/>
    <w:rsid w:val="00A82CB8"/>
    <w:rsid w:val="00AA25A5"/>
    <w:rsid w:val="00AA5281"/>
    <w:rsid w:val="00AB20A9"/>
    <w:rsid w:val="00AC426A"/>
    <w:rsid w:val="00AF716D"/>
    <w:rsid w:val="00B14FE9"/>
    <w:rsid w:val="00B20D59"/>
    <w:rsid w:val="00B23664"/>
    <w:rsid w:val="00B46C17"/>
    <w:rsid w:val="00B63A9D"/>
    <w:rsid w:val="00B76C78"/>
    <w:rsid w:val="00B80142"/>
    <w:rsid w:val="00B930AD"/>
    <w:rsid w:val="00BA2A86"/>
    <w:rsid w:val="00BD2144"/>
    <w:rsid w:val="00BD2C76"/>
    <w:rsid w:val="00BD4D2C"/>
    <w:rsid w:val="00BE4B0F"/>
    <w:rsid w:val="00BF3A55"/>
    <w:rsid w:val="00C36C25"/>
    <w:rsid w:val="00C714EA"/>
    <w:rsid w:val="00C86561"/>
    <w:rsid w:val="00CB6A1A"/>
    <w:rsid w:val="00CB762F"/>
    <w:rsid w:val="00CF0E6A"/>
    <w:rsid w:val="00D66673"/>
    <w:rsid w:val="00D81558"/>
    <w:rsid w:val="00DA1502"/>
    <w:rsid w:val="00DD3BE1"/>
    <w:rsid w:val="00DD44C5"/>
    <w:rsid w:val="00DD7AF8"/>
    <w:rsid w:val="00DE3365"/>
    <w:rsid w:val="00E0593D"/>
    <w:rsid w:val="00E30B61"/>
    <w:rsid w:val="00E42324"/>
    <w:rsid w:val="00E759FA"/>
    <w:rsid w:val="00E762B4"/>
    <w:rsid w:val="00EB47D5"/>
    <w:rsid w:val="00ED444E"/>
    <w:rsid w:val="00EE4E6A"/>
    <w:rsid w:val="00F158A6"/>
    <w:rsid w:val="00F21A00"/>
    <w:rsid w:val="00F22BCF"/>
    <w:rsid w:val="00FA2924"/>
    <w:rsid w:val="00FD41EE"/>
    <w:rsid w:val="00FD5355"/>
    <w:rsid w:val="00FD73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36729"/>
  <w15:chartTrackingRefBased/>
  <w15:docId w15:val="{F02F74C2-ED5C-46F4-89BA-0EA02AE1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67EAB"/>
    <w:pPr>
      <w:spacing w:after="0" w:line="240" w:lineRule="auto"/>
      <w:jc w:val="both"/>
    </w:pPr>
    <w:rPr>
      <w:rFonts w:eastAsia="Times New Roman" w:cs="Times New Roman"/>
      <w:kern w:val="0"/>
      <w:szCs w:val="20"/>
      <w:lang w:val="en-GB"/>
      <w14:ligatures w14:val="none"/>
    </w:rPr>
  </w:style>
  <w:style w:type="paragraph" w:styleId="Cmsor1">
    <w:name w:val="heading 1"/>
    <w:basedOn w:val="Norml"/>
    <w:next w:val="Norml"/>
    <w:link w:val="Cmsor1Char"/>
    <w:uiPriority w:val="9"/>
    <w:qFormat/>
    <w:rsid w:val="00AC426A"/>
    <w:pPr>
      <w:keepNext/>
      <w:keepLines/>
      <w:spacing w:before="360" w:after="80"/>
      <w:outlineLvl w:val="0"/>
    </w:pPr>
    <w:rPr>
      <w:rFonts w:asciiTheme="majorHAnsi" w:eastAsiaTheme="majorEastAsia" w:hAnsiTheme="majorHAnsi" w:cstheme="majorBidi"/>
      <w:color w:val="000000" w:themeColor="text1"/>
      <w:sz w:val="36"/>
      <w:szCs w:val="40"/>
    </w:rPr>
  </w:style>
  <w:style w:type="paragraph" w:styleId="Cmsor2">
    <w:name w:val="heading 2"/>
    <w:basedOn w:val="Norml"/>
    <w:next w:val="Norml"/>
    <w:link w:val="Cmsor2Char"/>
    <w:uiPriority w:val="9"/>
    <w:unhideWhenUsed/>
    <w:qFormat/>
    <w:rsid w:val="00226DB8"/>
    <w:pPr>
      <w:keepNext/>
      <w:keepLines/>
      <w:spacing w:before="160" w:after="80"/>
      <w:outlineLvl w:val="1"/>
    </w:pPr>
    <w:rPr>
      <w:rFonts w:asciiTheme="majorHAnsi" w:eastAsiaTheme="majorEastAsia" w:hAnsiTheme="majorHAnsi" w:cstheme="majorBidi"/>
      <w:b/>
      <w:color w:val="000000" w:themeColor="text1"/>
      <w:sz w:val="28"/>
      <w:szCs w:val="32"/>
    </w:rPr>
  </w:style>
  <w:style w:type="paragraph" w:styleId="Cmsor3">
    <w:name w:val="heading 3"/>
    <w:basedOn w:val="Norml"/>
    <w:next w:val="Norml"/>
    <w:link w:val="Cmsor3Char"/>
    <w:uiPriority w:val="9"/>
    <w:unhideWhenUsed/>
    <w:qFormat/>
    <w:rsid w:val="00226DB8"/>
    <w:pPr>
      <w:keepNext/>
      <w:keepLines/>
      <w:spacing w:before="160" w:after="80"/>
      <w:outlineLvl w:val="2"/>
    </w:pPr>
    <w:rPr>
      <w:rFonts w:asciiTheme="majorHAnsi" w:eastAsiaTheme="majorEastAsia" w:hAnsiTheme="majorHAnsi" w:cstheme="majorBidi"/>
      <w:b/>
      <w:color w:val="000000" w:themeColor="text1"/>
      <w:sz w:val="24"/>
      <w:szCs w:val="28"/>
    </w:rPr>
  </w:style>
  <w:style w:type="paragraph" w:styleId="Cmsor4">
    <w:name w:val="heading 4"/>
    <w:basedOn w:val="Norml"/>
    <w:next w:val="Norml"/>
    <w:link w:val="Cmsor4Char"/>
    <w:uiPriority w:val="9"/>
    <w:unhideWhenUsed/>
    <w:qFormat/>
    <w:rsid w:val="005E306B"/>
    <w:pPr>
      <w:keepNext/>
      <w:keepLines/>
      <w:spacing w:before="80" w:after="40"/>
      <w:outlineLvl w:val="3"/>
    </w:pPr>
    <w:rPr>
      <w:rFonts w:eastAsiaTheme="majorEastAsia" w:cstheme="majorBidi"/>
      <w:i/>
      <w:iCs/>
    </w:rPr>
  </w:style>
  <w:style w:type="paragraph" w:styleId="Cmsor5">
    <w:name w:val="heading 5"/>
    <w:basedOn w:val="Norml"/>
    <w:next w:val="Norml"/>
    <w:link w:val="Cmsor5Char"/>
    <w:uiPriority w:val="9"/>
    <w:semiHidden/>
    <w:unhideWhenUsed/>
    <w:qFormat/>
    <w:rsid w:val="002326B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326B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326B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326B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326B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C426A"/>
    <w:rPr>
      <w:rFonts w:asciiTheme="majorHAnsi" w:eastAsiaTheme="majorEastAsia" w:hAnsiTheme="majorHAnsi" w:cstheme="majorBidi"/>
      <w:color w:val="000000" w:themeColor="text1"/>
      <w:kern w:val="0"/>
      <w:sz w:val="36"/>
      <w:szCs w:val="40"/>
      <w:lang w:val="en-GB"/>
      <w14:ligatures w14:val="none"/>
    </w:rPr>
  </w:style>
  <w:style w:type="character" w:customStyle="1" w:styleId="Cmsor2Char">
    <w:name w:val="Címsor 2 Char"/>
    <w:basedOn w:val="Bekezdsalapbettpusa"/>
    <w:link w:val="Cmsor2"/>
    <w:uiPriority w:val="9"/>
    <w:rsid w:val="00226DB8"/>
    <w:rPr>
      <w:rFonts w:asciiTheme="majorHAnsi" w:eastAsiaTheme="majorEastAsia" w:hAnsiTheme="majorHAnsi" w:cstheme="majorBidi"/>
      <w:b/>
      <w:color w:val="000000" w:themeColor="text1"/>
      <w:kern w:val="0"/>
      <w:sz w:val="28"/>
      <w:szCs w:val="32"/>
      <w:lang w:val="en-GB"/>
      <w14:ligatures w14:val="none"/>
    </w:rPr>
  </w:style>
  <w:style w:type="character" w:customStyle="1" w:styleId="Cmsor3Char">
    <w:name w:val="Címsor 3 Char"/>
    <w:basedOn w:val="Bekezdsalapbettpusa"/>
    <w:link w:val="Cmsor3"/>
    <w:uiPriority w:val="9"/>
    <w:rsid w:val="00226DB8"/>
    <w:rPr>
      <w:rFonts w:asciiTheme="majorHAnsi" w:eastAsiaTheme="majorEastAsia" w:hAnsiTheme="majorHAnsi" w:cstheme="majorBidi"/>
      <w:b/>
      <w:color w:val="000000" w:themeColor="text1"/>
      <w:kern w:val="0"/>
      <w:sz w:val="24"/>
      <w:szCs w:val="28"/>
      <w:lang w:val="en-GB"/>
      <w14:ligatures w14:val="none"/>
    </w:rPr>
  </w:style>
  <w:style w:type="character" w:customStyle="1" w:styleId="Cmsor4Char">
    <w:name w:val="Címsor 4 Char"/>
    <w:basedOn w:val="Bekezdsalapbettpusa"/>
    <w:link w:val="Cmsor4"/>
    <w:uiPriority w:val="9"/>
    <w:rsid w:val="005E306B"/>
    <w:rPr>
      <w:rFonts w:eastAsiaTheme="majorEastAsia" w:cstheme="majorBidi"/>
      <w:i/>
      <w:iCs/>
      <w:kern w:val="0"/>
      <w:szCs w:val="20"/>
      <w:lang w:val="en-GB"/>
      <w14:ligatures w14:val="none"/>
    </w:rPr>
  </w:style>
  <w:style w:type="character" w:customStyle="1" w:styleId="Cmsor5Char">
    <w:name w:val="Címsor 5 Char"/>
    <w:basedOn w:val="Bekezdsalapbettpusa"/>
    <w:link w:val="Cmsor5"/>
    <w:uiPriority w:val="9"/>
    <w:semiHidden/>
    <w:rsid w:val="002326B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326B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326B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326B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326B9"/>
    <w:rPr>
      <w:rFonts w:eastAsiaTheme="majorEastAsia" w:cstheme="majorBidi"/>
      <w:color w:val="272727" w:themeColor="text1" w:themeTint="D8"/>
    </w:rPr>
  </w:style>
  <w:style w:type="paragraph" w:styleId="Cm">
    <w:name w:val="Title"/>
    <w:basedOn w:val="Norml"/>
    <w:next w:val="Norml"/>
    <w:link w:val="CmChar"/>
    <w:uiPriority w:val="10"/>
    <w:qFormat/>
    <w:rsid w:val="002326B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326B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326B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326B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326B9"/>
    <w:pPr>
      <w:spacing w:before="160"/>
      <w:jc w:val="center"/>
    </w:pPr>
    <w:rPr>
      <w:i/>
      <w:iCs/>
      <w:color w:val="404040" w:themeColor="text1" w:themeTint="BF"/>
    </w:rPr>
  </w:style>
  <w:style w:type="character" w:customStyle="1" w:styleId="IdzetChar">
    <w:name w:val="Idézet Char"/>
    <w:basedOn w:val="Bekezdsalapbettpusa"/>
    <w:link w:val="Idzet"/>
    <w:uiPriority w:val="29"/>
    <w:rsid w:val="002326B9"/>
    <w:rPr>
      <w:i/>
      <w:iCs/>
      <w:color w:val="404040" w:themeColor="text1" w:themeTint="BF"/>
    </w:rPr>
  </w:style>
  <w:style w:type="paragraph" w:styleId="Listaszerbekezds">
    <w:name w:val="List Paragraph"/>
    <w:basedOn w:val="Norml"/>
    <w:uiPriority w:val="34"/>
    <w:qFormat/>
    <w:rsid w:val="002326B9"/>
    <w:pPr>
      <w:ind w:left="720"/>
      <w:contextualSpacing/>
    </w:pPr>
  </w:style>
  <w:style w:type="character" w:styleId="Erskiemels">
    <w:name w:val="Intense Emphasis"/>
    <w:basedOn w:val="Bekezdsalapbettpusa"/>
    <w:uiPriority w:val="21"/>
    <w:qFormat/>
    <w:rsid w:val="002326B9"/>
    <w:rPr>
      <w:i/>
      <w:iCs/>
      <w:color w:val="0F4761" w:themeColor="accent1" w:themeShade="BF"/>
    </w:rPr>
  </w:style>
  <w:style w:type="paragraph" w:styleId="Kiemeltidzet">
    <w:name w:val="Intense Quote"/>
    <w:basedOn w:val="Norml"/>
    <w:next w:val="Norml"/>
    <w:link w:val="KiemeltidzetChar"/>
    <w:uiPriority w:val="30"/>
    <w:qFormat/>
    <w:rsid w:val="00232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326B9"/>
    <w:rPr>
      <w:i/>
      <w:iCs/>
      <w:color w:val="0F4761" w:themeColor="accent1" w:themeShade="BF"/>
    </w:rPr>
  </w:style>
  <w:style w:type="character" w:styleId="Ershivatkozs">
    <w:name w:val="Intense Reference"/>
    <w:basedOn w:val="Bekezdsalapbettpusa"/>
    <w:uiPriority w:val="32"/>
    <w:qFormat/>
    <w:rsid w:val="002326B9"/>
    <w:rPr>
      <w:b/>
      <w:bCs/>
      <w:smallCaps/>
      <w:color w:val="0F4761" w:themeColor="accent1" w:themeShade="BF"/>
      <w:spacing w:val="5"/>
    </w:rPr>
  </w:style>
  <w:style w:type="paragraph" w:styleId="lfej">
    <w:name w:val="header"/>
    <w:basedOn w:val="Norml"/>
    <w:link w:val="lfejChar"/>
    <w:uiPriority w:val="99"/>
    <w:unhideWhenUsed/>
    <w:rsid w:val="002326B9"/>
    <w:pPr>
      <w:tabs>
        <w:tab w:val="center" w:pos="4536"/>
        <w:tab w:val="right" w:pos="9072"/>
      </w:tabs>
    </w:pPr>
  </w:style>
  <w:style w:type="character" w:customStyle="1" w:styleId="lfejChar">
    <w:name w:val="Élőfej Char"/>
    <w:basedOn w:val="Bekezdsalapbettpusa"/>
    <w:link w:val="lfej"/>
    <w:uiPriority w:val="99"/>
    <w:rsid w:val="002326B9"/>
  </w:style>
  <w:style w:type="paragraph" w:styleId="llb">
    <w:name w:val="footer"/>
    <w:basedOn w:val="Norml"/>
    <w:link w:val="llbChar"/>
    <w:uiPriority w:val="99"/>
    <w:unhideWhenUsed/>
    <w:rsid w:val="002326B9"/>
    <w:pPr>
      <w:tabs>
        <w:tab w:val="center" w:pos="4536"/>
        <w:tab w:val="right" w:pos="9072"/>
      </w:tabs>
    </w:pPr>
  </w:style>
  <w:style w:type="character" w:customStyle="1" w:styleId="llbChar">
    <w:name w:val="Élőláb Char"/>
    <w:basedOn w:val="Bekezdsalapbettpusa"/>
    <w:link w:val="llb"/>
    <w:uiPriority w:val="99"/>
    <w:rsid w:val="002326B9"/>
  </w:style>
  <w:style w:type="paragraph" w:styleId="Tartalomjegyzkcmsora">
    <w:name w:val="TOC Heading"/>
    <w:basedOn w:val="Cmsor1"/>
    <w:next w:val="Norml"/>
    <w:uiPriority w:val="39"/>
    <w:unhideWhenUsed/>
    <w:qFormat/>
    <w:rsid w:val="00AC426A"/>
    <w:pPr>
      <w:spacing w:before="240" w:after="0"/>
      <w:outlineLvl w:val="9"/>
    </w:pPr>
    <w:rPr>
      <w:sz w:val="32"/>
      <w:szCs w:val="32"/>
      <w:lang w:eastAsia="hu-HU"/>
    </w:rPr>
  </w:style>
  <w:style w:type="paragraph" w:styleId="TJ1">
    <w:name w:val="toc 1"/>
    <w:basedOn w:val="Norml"/>
    <w:next w:val="Norml"/>
    <w:autoRedefine/>
    <w:uiPriority w:val="39"/>
    <w:unhideWhenUsed/>
    <w:rsid w:val="00AC426A"/>
    <w:pPr>
      <w:spacing w:after="100"/>
    </w:pPr>
  </w:style>
  <w:style w:type="character" w:styleId="Hiperhivatkozs">
    <w:name w:val="Hyperlink"/>
    <w:basedOn w:val="Bekezdsalapbettpusa"/>
    <w:uiPriority w:val="99"/>
    <w:unhideWhenUsed/>
    <w:rsid w:val="00AC426A"/>
    <w:rPr>
      <w:color w:val="467886" w:themeColor="hyperlink"/>
      <w:u w:val="single"/>
    </w:rPr>
  </w:style>
  <w:style w:type="table" w:styleId="Rcsostblzat">
    <w:name w:val="Table Grid"/>
    <w:basedOn w:val="Normltblzat"/>
    <w:uiPriority w:val="39"/>
    <w:rsid w:val="00CF0E6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3">
    <w:name w:val="toc 3"/>
    <w:basedOn w:val="Norml"/>
    <w:next w:val="Norml"/>
    <w:autoRedefine/>
    <w:uiPriority w:val="39"/>
    <w:unhideWhenUsed/>
    <w:rsid w:val="00DE3365"/>
    <w:pPr>
      <w:spacing w:after="100"/>
      <w:ind w:left="440"/>
    </w:pPr>
  </w:style>
  <w:style w:type="paragraph" w:styleId="Kpalrs">
    <w:name w:val="caption"/>
    <w:basedOn w:val="Norml"/>
    <w:next w:val="Norml"/>
    <w:uiPriority w:val="35"/>
    <w:semiHidden/>
    <w:unhideWhenUsed/>
    <w:qFormat/>
    <w:rsid w:val="001B226A"/>
    <w:pPr>
      <w:spacing w:after="200"/>
    </w:pPr>
    <w:rPr>
      <w:i/>
      <w:iCs/>
      <w:color w:val="0E2841" w:themeColor="text2"/>
      <w:sz w:val="18"/>
      <w:szCs w:val="18"/>
    </w:rPr>
  </w:style>
  <w:style w:type="character" w:styleId="Feloldatlanmegemlts">
    <w:name w:val="Unresolved Mention"/>
    <w:basedOn w:val="Bekezdsalapbettpusa"/>
    <w:uiPriority w:val="99"/>
    <w:semiHidden/>
    <w:unhideWhenUsed/>
    <w:rsid w:val="00344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standards.ie/en-ie/search/standard/?searchTerm=The%20CEN/TS%2017700-1&amp;productFamily=STANDA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EN/TXT/?uri=uriserv:OJ.C_.2021.119.01.0001.01.E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D15F-4428-4A26-9C89-1D9EF198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2145</Words>
  <Characters>13126</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Aranyi Nikolett</dc:creator>
  <cp:keywords/>
  <dc:description/>
  <cp:lastModifiedBy>Tamás Puskás</cp:lastModifiedBy>
  <cp:revision>3</cp:revision>
  <dcterms:created xsi:type="dcterms:W3CDTF">2025-04-07T09:49:00Z</dcterms:created>
  <dcterms:modified xsi:type="dcterms:W3CDTF">2025-04-07T09:49:00Z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67694a83-3f83-4478-9df4-720b5cef5462</vt:lpwstr>
  </property>
</Properties>
</file>